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318EF" w14:textId="343F58C4" w:rsidR="00DA6D5A" w:rsidRDefault="00DA6D5A" w:rsidP="00055AE7">
      <w:pPr>
        <w:jc w:val="center"/>
        <w:rPr>
          <w:rFonts w:ascii="Times New Roman" w:hAnsi="Times New Roman" w:cs="Times New Roman"/>
          <w:sz w:val="36"/>
          <w:szCs w:val="36"/>
        </w:rPr>
      </w:pPr>
      <w:r>
        <w:rPr>
          <w:rFonts w:ascii="Times New Roman" w:hAnsi="Times New Roman" w:cs="Times New Roman"/>
          <w:sz w:val="36"/>
          <w:szCs w:val="36"/>
        </w:rPr>
        <w:t>Policy Analysis Part 1</w:t>
      </w:r>
    </w:p>
    <w:p w14:paraId="42CA356C" w14:textId="437B6D4D" w:rsidR="00DA6D5A" w:rsidRDefault="00DA6D5A" w:rsidP="00DA6D5A">
      <w:pPr>
        <w:jc w:val="center"/>
        <w:rPr>
          <w:rFonts w:ascii="Times New Roman" w:hAnsi="Times New Roman" w:cs="Times New Roman"/>
          <w:sz w:val="36"/>
          <w:szCs w:val="36"/>
        </w:rPr>
      </w:pPr>
      <w:r>
        <w:rPr>
          <w:rFonts w:ascii="Times New Roman" w:hAnsi="Times New Roman" w:cs="Times New Roman"/>
          <w:sz w:val="36"/>
          <w:szCs w:val="36"/>
        </w:rPr>
        <w:t>Intake Process Policy</w:t>
      </w:r>
    </w:p>
    <w:p w14:paraId="4C6EC349" w14:textId="2E8B2222" w:rsidR="006135FC" w:rsidRDefault="006135FC" w:rsidP="006135FC">
      <w:pPr>
        <w:spacing w:line="480" w:lineRule="auto"/>
        <w:rPr>
          <w:rFonts w:ascii="Times New Roman" w:hAnsi="Times New Roman" w:cs="Times New Roman"/>
          <w:sz w:val="36"/>
          <w:szCs w:val="36"/>
        </w:rPr>
      </w:pPr>
    </w:p>
    <w:p w14:paraId="02305905" w14:textId="13D304B3" w:rsidR="00DA6D5A" w:rsidRDefault="00DA6D5A" w:rsidP="006135FC">
      <w:pPr>
        <w:spacing w:line="480" w:lineRule="auto"/>
        <w:ind w:firstLine="720"/>
        <w:rPr>
          <w:rFonts w:ascii="Times New Roman" w:hAnsi="Times New Roman" w:cs="Times New Roman"/>
          <w:sz w:val="24"/>
          <w:szCs w:val="24"/>
        </w:rPr>
      </w:pPr>
      <w:r w:rsidRPr="00080DB2">
        <w:rPr>
          <w:rFonts w:ascii="Times New Roman" w:hAnsi="Times New Roman" w:cs="Times New Roman"/>
          <w:sz w:val="24"/>
          <w:szCs w:val="24"/>
        </w:rPr>
        <w:t>The unofficial name of the agency policy at hand is referred to as the Intake Process Policy. It is the policy of The Beacon</w:t>
      </w:r>
      <w:r w:rsidR="00080DB2">
        <w:rPr>
          <w:rFonts w:ascii="Times New Roman" w:hAnsi="Times New Roman" w:cs="Times New Roman"/>
          <w:sz w:val="24"/>
          <w:szCs w:val="24"/>
        </w:rPr>
        <w:t xml:space="preserve"> of Downtown Houston</w:t>
      </w:r>
      <w:r w:rsidRPr="00080DB2">
        <w:rPr>
          <w:rFonts w:ascii="Times New Roman" w:hAnsi="Times New Roman" w:cs="Times New Roman"/>
          <w:sz w:val="24"/>
          <w:szCs w:val="24"/>
        </w:rPr>
        <w:t xml:space="preserve">, as of September </w:t>
      </w:r>
      <w:r w:rsidR="00080DB2" w:rsidRPr="00080DB2">
        <w:rPr>
          <w:rFonts w:ascii="Times New Roman" w:hAnsi="Times New Roman" w:cs="Times New Roman"/>
          <w:sz w:val="24"/>
          <w:szCs w:val="24"/>
        </w:rPr>
        <w:t>24, 2020, that</w:t>
      </w:r>
      <w:r w:rsidR="006135FC">
        <w:rPr>
          <w:rFonts w:ascii="Times New Roman" w:hAnsi="Times New Roman" w:cs="Times New Roman"/>
          <w:sz w:val="24"/>
          <w:szCs w:val="24"/>
        </w:rPr>
        <w:t>:</w:t>
      </w:r>
      <w:r w:rsidR="00080DB2" w:rsidRPr="00080DB2">
        <w:rPr>
          <w:rFonts w:ascii="Times New Roman" w:hAnsi="Times New Roman" w:cs="Times New Roman"/>
          <w:sz w:val="24"/>
          <w:szCs w:val="24"/>
        </w:rPr>
        <w:t xml:space="preserve"> “Housing assessments and status checks are available Mondays through Thursdays. Intake process begins at 7 a.m. and services are available on a first come, first serve basis” (</w:t>
      </w:r>
      <w:r w:rsidR="00D074F9" w:rsidRPr="00D074F9">
        <w:rPr>
          <w:rFonts w:ascii="Times New Roman" w:hAnsi="Times New Roman" w:cs="Times New Roman"/>
          <w:i/>
          <w:iCs/>
          <w:sz w:val="24"/>
          <w:szCs w:val="24"/>
        </w:rPr>
        <w:t>The Beacon| Homeless Services| Houston</w:t>
      </w:r>
      <w:r w:rsidR="00D074F9" w:rsidRPr="00D074F9">
        <w:rPr>
          <w:rFonts w:ascii="Times New Roman" w:hAnsi="Times New Roman" w:cs="Times New Roman"/>
          <w:sz w:val="24"/>
          <w:szCs w:val="24"/>
        </w:rPr>
        <w:t>, n.d.</w:t>
      </w:r>
      <w:r w:rsidR="00080DB2" w:rsidRPr="00080DB2">
        <w:rPr>
          <w:rFonts w:ascii="Times New Roman" w:hAnsi="Times New Roman" w:cs="Times New Roman"/>
          <w:sz w:val="24"/>
          <w:szCs w:val="24"/>
        </w:rPr>
        <w:t xml:space="preserve">). During the intake and/or registration process, The Beacon staff, volunteers and/or interns are to ask each client applying for services for their personal identification number and name. This information is collected in order to connect the client with their existing Homeless Management Information System record and/or have a new client complete an intake form or program application. </w:t>
      </w:r>
      <w:r w:rsidR="00055AE7">
        <w:rPr>
          <w:rFonts w:ascii="Times New Roman" w:hAnsi="Times New Roman" w:cs="Times New Roman"/>
          <w:sz w:val="24"/>
          <w:szCs w:val="24"/>
        </w:rPr>
        <w:t xml:space="preserve">Once the client has been enrolled in The Beacon Services, they are then provided with a system generated number and serviced in the specified order. Those who are in need of housing assessments, are seen by </w:t>
      </w:r>
      <w:r w:rsidR="00055AE7">
        <w:rPr>
          <w:rFonts w:ascii="Times New Roman" w:hAnsi="Times New Roman" w:cs="Times New Roman"/>
          <w:sz w:val="24"/>
          <w:szCs w:val="24"/>
        </w:rPr>
        <w:lastRenderedPageBreak/>
        <w:t>the on-site New Hope housing assessor to complete a housing assessment that will help link them to the most suitable housing options.</w:t>
      </w:r>
    </w:p>
    <w:p w14:paraId="76CF6444" w14:textId="648830B3" w:rsidR="006135FC" w:rsidRDefault="006135FC" w:rsidP="006135F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organization’s goal is to help end homelessness and restore hope by providing empowering services. In 2014, The Beacon partnered with The Way Home to provide coordinated access to housing interventions and emergency shelters </w:t>
      </w:r>
      <w:r w:rsidR="0075064B">
        <w:rPr>
          <w:rFonts w:ascii="Times New Roman" w:hAnsi="Times New Roman" w:cs="Times New Roman"/>
          <w:sz w:val="24"/>
          <w:szCs w:val="24"/>
        </w:rPr>
        <w:t xml:space="preserve">and services </w:t>
      </w:r>
      <w:r>
        <w:rPr>
          <w:rFonts w:ascii="Times New Roman" w:hAnsi="Times New Roman" w:cs="Times New Roman"/>
          <w:sz w:val="24"/>
          <w:szCs w:val="24"/>
        </w:rPr>
        <w:t xml:space="preserve">for individuals and families experiencing homelessness. </w:t>
      </w:r>
      <w:r w:rsidR="0075064B">
        <w:rPr>
          <w:rFonts w:ascii="Times New Roman" w:hAnsi="Times New Roman" w:cs="Times New Roman"/>
          <w:sz w:val="24"/>
          <w:szCs w:val="24"/>
        </w:rPr>
        <w:t xml:space="preserve">The objective is to utilize the Homeless Management Information System to keep track of client-level information without duplicating data among a host of homeless assistance and homelessness prevention programs within the Continuum of Care. The system stores and tracks information in relation to the client’s history of homelessness, needs, goals, services rendered and from what HUB in addition to service outcomes. As a result, </w:t>
      </w:r>
      <w:r w:rsidR="001C19A8">
        <w:rPr>
          <w:rFonts w:ascii="Times New Roman" w:hAnsi="Times New Roman" w:cs="Times New Roman"/>
          <w:sz w:val="24"/>
          <w:szCs w:val="24"/>
        </w:rPr>
        <w:t xml:space="preserve">all coordinated access service providers are able to collaboratively work together in efforts to end homelessness both locally and nationally. </w:t>
      </w:r>
    </w:p>
    <w:p w14:paraId="0ADA7FC2" w14:textId="7BDAEB3A" w:rsidR="001C19A8" w:rsidRDefault="001C19A8" w:rsidP="006135F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services provided by The Beacon of Downtown Houston are </w:t>
      </w:r>
      <w:r w:rsidR="0076789B">
        <w:rPr>
          <w:rFonts w:ascii="Times New Roman" w:hAnsi="Times New Roman" w:cs="Times New Roman"/>
          <w:sz w:val="24"/>
          <w:szCs w:val="24"/>
        </w:rPr>
        <w:t xml:space="preserve">usually </w:t>
      </w:r>
      <w:r>
        <w:rPr>
          <w:rFonts w:ascii="Times New Roman" w:hAnsi="Times New Roman" w:cs="Times New Roman"/>
          <w:sz w:val="24"/>
          <w:szCs w:val="24"/>
        </w:rPr>
        <w:t>intended for individuals and families experiencing homelessness</w:t>
      </w:r>
      <w:r w:rsidR="0076789B">
        <w:rPr>
          <w:rFonts w:ascii="Times New Roman" w:hAnsi="Times New Roman" w:cs="Times New Roman"/>
          <w:sz w:val="24"/>
          <w:szCs w:val="24"/>
        </w:rPr>
        <w:t xml:space="preserve"> or chronic homelessness only</w:t>
      </w:r>
      <w:r>
        <w:rPr>
          <w:rFonts w:ascii="Times New Roman" w:hAnsi="Times New Roman" w:cs="Times New Roman"/>
          <w:sz w:val="24"/>
          <w:szCs w:val="24"/>
        </w:rPr>
        <w:t>.</w:t>
      </w:r>
      <w:r w:rsidR="0076789B">
        <w:rPr>
          <w:rFonts w:ascii="Times New Roman" w:hAnsi="Times New Roman" w:cs="Times New Roman"/>
          <w:sz w:val="24"/>
          <w:szCs w:val="24"/>
        </w:rPr>
        <w:t xml:space="preserve"> In recent development, those who are at-risk of becoming homeless within the </w:t>
      </w:r>
      <w:r w:rsidR="0076789B">
        <w:rPr>
          <w:rFonts w:ascii="Times New Roman" w:hAnsi="Times New Roman" w:cs="Times New Roman"/>
          <w:sz w:val="24"/>
          <w:szCs w:val="24"/>
        </w:rPr>
        <w:lastRenderedPageBreak/>
        <w:t xml:space="preserve">next five or less days are also temporary beneficiaries of the agency policy and may be eligible for the new diversion program. The diversion program was recently implemented to help decrease the rising number of ineligible clients since the impact of the pandemic. </w:t>
      </w:r>
      <w:r>
        <w:rPr>
          <w:rFonts w:ascii="Times New Roman" w:hAnsi="Times New Roman" w:cs="Times New Roman"/>
          <w:sz w:val="24"/>
          <w:szCs w:val="24"/>
        </w:rPr>
        <w:t>Applicants can render services including</w:t>
      </w:r>
      <w:r w:rsidR="0063269F">
        <w:rPr>
          <w:rFonts w:ascii="Times New Roman" w:hAnsi="Times New Roman" w:cs="Times New Roman"/>
          <w:sz w:val="24"/>
          <w:szCs w:val="24"/>
        </w:rPr>
        <w:t xml:space="preserve"> but not limited to civil</w:t>
      </w:r>
      <w:r>
        <w:rPr>
          <w:rFonts w:ascii="Times New Roman" w:hAnsi="Times New Roman" w:cs="Times New Roman"/>
          <w:sz w:val="24"/>
          <w:szCs w:val="24"/>
        </w:rPr>
        <w:t xml:space="preserve"> legal aid services, </w:t>
      </w:r>
      <w:r w:rsidR="0063269F">
        <w:rPr>
          <w:rFonts w:ascii="Times New Roman" w:hAnsi="Times New Roman" w:cs="Times New Roman"/>
          <w:sz w:val="24"/>
          <w:szCs w:val="24"/>
        </w:rPr>
        <w:t xml:space="preserve">food, laundry and showering services, as well as counseling and mentoring services. The agency’s target area is Greater Houston; however, clients from all areas are welcomed to apply for services. </w:t>
      </w:r>
    </w:p>
    <w:p w14:paraId="187F05B6" w14:textId="4D5B05C7" w:rsidR="00F93925" w:rsidRDefault="00F93925" w:rsidP="006135F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Beacon serves as a coordinated access HUB for the National Coalition for the Homeless and its overall goal is to help provide the necessary basic needs to homeless individuals and families. The agency’s use of the Homeless Management Information System and the Housing-First model helps to achieve this goal by bridging delivery service gaps. </w:t>
      </w:r>
      <w:r w:rsidR="00802930">
        <w:rPr>
          <w:rFonts w:ascii="Times New Roman" w:hAnsi="Times New Roman" w:cs="Times New Roman"/>
          <w:sz w:val="24"/>
          <w:szCs w:val="24"/>
        </w:rPr>
        <w:t>O</w:t>
      </w:r>
      <w:r>
        <w:rPr>
          <w:rFonts w:ascii="Times New Roman" w:hAnsi="Times New Roman" w:cs="Times New Roman"/>
          <w:sz w:val="24"/>
          <w:szCs w:val="24"/>
        </w:rPr>
        <w:t xml:space="preserve">rganizations who implement the Housing-First model believe that it is imperative to focus on securing stable housing before being able to successfully combat </w:t>
      </w:r>
      <w:r w:rsidR="00802930">
        <w:rPr>
          <w:rFonts w:ascii="Times New Roman" w:hAnsi="Times New Roman" w:cs="Times New Roman"/>
          <w:sz w:val="24"/>
          <w:szCs w:val="24"/>
        </w:rPr>
        <w:t xml:space="preserve">other concerns such as substance and alcohol abuse. I am also in support of this theory, as it is not only logical but also helps to create independence and increase self-sufficiency within those in need. </w:t>
      </w:r>
    </w:p>
    <w:p w14:paraId="0EB657CA" w14:textId="77777777" w:rsidR="008F7599" w:rsidRDefault="001D4DF8" w:rsidP="008F7599">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One legislation that played a role in bringing forth the agency policy is the McKinney Vento Homeless Assistance Act. This legislation </w:t>
      </w:r>
      <w:r w:rsidR="008B7719">
        <w:rPr>
          <w:rFonts w:ascii="Times New Roman" w:hAnsi="Times New Roman" w:cs="Times New Roman"/>
          <w:sz w:val="24"/>
          <w:szCs w:val="24"/>
        </w:rPr>
        <w:t xml:space="preserve">includes nine titles that </w:t>
      </w:r>
      <w:r>
        <w:rPr>
          <w:rFonts w:ascii="Times New Roman" w:hAnsi="Times New Roman" w:cs="Times New Roman"/>
          <w:sz w:val="24"/>
          <w:szCs w:val="24"/>
        </w:rPr>
        <w:t xml:space="preserve">provide rights and </w:t>
      </w:r>
      <w:r w:rsidR="00583E0A">
        <w:rPr>
          <w:rFonts w:ascii="Times New Roman" w:hAnsi="Times New Roman" w:cs="Times New Roman"/>
          <w:sz w:val="24"/>
          <w:szCs w:val="24"/>
        </w:rPr>
        <w:t xml:space="preserve">a </w:t>
      </w:r>
      <w:r w:rsidR="00F75462">
        <w:rPr>
          <w:rFonts w:ascii="Times New Roman" w:hAnsi="Times New Roman" w:cs="Times New Roman"/>
          <w:sz w:val="24"/>
          <w:szCs w:val="24"/>
        </w:rPr>
        <w:t>plethora</w:t>
      </w:r>
      <w:r w:rsidR="00583E0A">
        <w:rPr>
          <w:rFonts w:ascii="Times New Roman" w:hAnsi="Times New Roman" w:cs="Times New Roman"/>
          <w:sz w:val="24"/>
          <w:szCs w:val="24"/>
        </w:rPr>
        <w:t xml:space="preserve"> of </w:t>
      </w:r>
      <w:r>
        <w:rPr>
          <w:rFonts w:ascii="Times New Roman" w:hAnsi="Times New Roman" w:cs="Times New Roman"/>
          <w:sz w:val="24"/>
          <w:szCs w:val="24"/>
        </w:rPr>
        <w:t xml:space="preserve">services </w:t>
      </w:r>
      <w:r w:rsidR="00F75462">
        <w:rPr>
          <w:rFonts w:ascii="Times New Roman" w:hAnsi="Times New Roman" w:cs="Times New Roman"/>
          <w:sz w:val="24"/>
          <w:szCs w:val="24"/>
        </w:rPr>
        <w:t>for t</w:t>
      </w:r>
      <w:r w:rsidR="00583E0A">
        <w:rPr>
          <w:rFonts w:ascii="Times New Roman" w:hAnsi="Times New Roman" w:cs="Times New Roman"/>
          <w:sz w:val="24"/>
          <w:szCs w:val="24"/>
        </w:rPr>
        <w:t xml:space="preserve">he homeless population </w:t>
      </w:r>
      <w:r w:rsidR="00F75462">
        <w:rPr>
          <w:rFonts w:ascii="Times New Roman" w:hAnsi="Times New Roman" w:cs="Times New Roman"/>
          <w:sz w:val="24"/>
          <w:szCs w:val="24"/>
        </w:rPr>
        <w:t xml:space="preserve">ranging from supportive permanent housing, transitional housing, emergency shelter and food assistance, education, healthcare and job training. </w:t>
      </w:r>
      <w:r w:rsidR="008B7719">
        <w:rPr>
          <w:rFonts w:ascii="Times New Roman" w:hAnsi="Times New Roman" w:cs="Times New Roman"/>
          <w:sz w:val="24"/>
          <w:szCs w:val="24"/>
        </w:rPr>
        <w:t xml:space="preserve">It was first introduced to House as the </w:t>
      </w:r>
      <w:r w:rsidR="00B67F3F">
        <w:rPr>
          <w:rFonts w:ascii="Times New Roman" w:hAnsi="Times New Roman" w:cs="Times New Roman"/>
          <w:sz w:val="24"/>
          <w:szCs w:val="24"/>
        </w:rPr>
        <w:t>Urgent Relief for the Homeless Act on January 8, 1987 by Democratic Representative Thomas S. Foley</w:t>
      </w:r>
      <w:r w:rsidR="003572B8">
        <w:rPr>
          <w:rFonts w:ascii="Times New Roman" w:hAnsi="Times New Roman" w:cs="Times New Roman"/>
          <w:sz w:val="24"/>
          <w:szCs w:val="24"/>
        </w:rPr>
        <w:t xml:space="preserve"> (</w:t>
      </w:r>
      <w:r w:rsidR="003572B8" w:rsidRPr="003572B8">
        <w:rPr>
          <w:rFonts w:ascii="Times New Roman" w:hAnsi="Times New Roman" w:cs="Times New Roman"/>
          <w:i/>
          <w:iCs/>
          <w:sz w:val="24"/>
          <w:szCs w:val="24"/>
        </w:rPr>
        <w:t>Congress.gov | Library of Congress</w:t>
      </w:r>
      <w:r w:rsidR="003572B8" w:rsidRPr="003572B8">
        <w:rPr>
          <w:rFonts w:ascii="Times New Roman" w:hAnsi="Times New Roman" w:cs="Times New Roman"/>
          <w:sz w:val="24"/>
          <w:szCs w:val="24"/>
        </w:rPr>
        <w:t>, 2019</w:t>
      </w:r>
      <w:r w:rsidR="003572B8">
        <w:t>)</w:t>
      </w:r>
      <w:r w:rsidR="00B67F3F">
        <w:rPr>
          <w:rFonts w:ascii="Times New Roman" w:hAnsi="Times New Roman" w:cs="Times New Roman"/>
          <w:sz w:val="24"/>
          <w:szCs w:val="24"/>
        </w:rPr>
        <w:t>. On March 5</w:t>
      </w:r>
      <w:r w:rsidR="00C36387">
        <w:rPr>
          <w:rFonts w:ascii="Times New Roman" w:hAnsi="Times New Roman" w:cs="Times New Roman"/>
          <w:sz w:val="24"/>
          <w:szCs w:val="24"/>
        </w:rPr>
        <w:t>,</w:t>
      </w:r>
      <w:r w:rsidR="00B67F3F">
        <w:rPr>
          <w:rFonts w:ascii="Times New Roman" w:hAnsi="Times New Roman" w:cs="Times New Roman"/>
          <w:sz w:val="24"/>
          <w:szCs w:val="24"/>
        </w:rPr>
        <w:t xml:space="preserve"> 19</w:t>
      </w:r>
      <w:r w:rsidR="00C36387">
        <w:rPr>
          <w:rFonts w:ascii="Times New Roman" w:hAnsi="Times New Roman" w:cs="Times New Roman"/>
          <w:sz w:val="24"/>
          <w:szCs w:val="24"/>
        </w:rPr>
        <w:t>87 the proposal passed the House by a Yea-Nay vote of 264 - 121 and was then introduced to the Senate on March 10, 1987</w:t>
      </w:r>
      <w:r w:rsidR="003572B8">
        <w:rPr>
          <w:rFonts w:ascii="Times New Roman" w:hAnsi="Times New Roman" w:cs="Times New Roman"/>
          <w:sz w:val="24"/>
          <w:szCs w:val="24"/>
        </w:rPr>
        <w:t xml:space="preserve"> </w:t>
      </w:r>
      <w:r w:rsidR="003572B8">
        <w:t>(</w:t>
      </w:r>
      <w:r w:rsidR="003572B8" w:rsidRPr="003572B8">
        <w:rPr>
          <w:rFonts w:ascii="Times New Roman" w:hAnsi="Times New Roman" w:cs="Times New Roman"/>
          <w:i/>
          <w:iCs/>
          <w:sz w:val="24"/>
          <w:szCs w:val="24"/>
        </w:rPr>
        <w:t>Congress.gov | Library of Congress</w:t>
      </w:r>
      <w:r w:rsidR="003572B8" w:rsidRPr="003572B8">
        <w:rPr>
          <w:rFonts w:ascii="Times New Roman" w:hAnsi="Times New Roman" w:cs="Times New Roman"/>
          <w:sz w:val="24"/>
          <w:szCs w:val="24"/>
        </w:rPr>
        <w:t>, 2019</w:t>
      </w:r>
      <w:r w:rsidR="003572B8">
        <w:t>)</w:t>
      </w:r>
      <w:r w:rsidR="00C36387">
        <w:rPr>
          <w:rFonts w:ascii="Times New Roman" w:hAnsi="Times New Roman" w:cs="Times New Roman"/>
          <w:sz w:val="24"/>
          <w:szCs w:val="24"/>
        </w:rPr>
        <w:t xml:space="preserve">. After </w:t>
      </w:r>
      <w:r w:rsidR="003667EE">
        <w:rPr>
          <w:rFonts w:ascii="Times New Roman" w:hAnsi="Times New Roman" w:cs="Times New Roman"/>
          <w:sz w:val="24"/>
          <w:szCs w:val="24"/>
        </w:rPr>
        <w:t xml:space="preserve">careful consideration, amendments and a conference, Senate </w:t>
      </w:r>
      <w:r w:rsidR="004C5185">
        <w:rPr>
          <w:rFonts w:ascii="Times New Roman" w:hAnsi="Times New Roman" w:cs="Times New Roman"/>
          <w:sz w:val="24"/>
          <w:szCs w:val="24"/>
        </w:rPr>
        <w:t xml:space="preserve">agreed by a Yea-Nay vote of 301 – 115, </w:t>
      </w:r>
      <w:r w:rsidR="003667EE">
        <w:rPr>
          <w:rFonts w:ascii="Times New Roman" w:hAnsi="Times New Roman" w:cs="Times New Roman"/>
          <w:sz w:val="24"/>
          <w:szCs w:val="24"/>
        </w:rPr>
        <w:t>on July 09, 1987, leaving the House to present it to the President</w:t>
      </w:r>
      <w:r w:rsidR="003572B8">
        <w:rPr>
          <w:rFonts w:ascii="Times New Roman" w:hAnsi="Times New Roman" w:cs="Times New Roman"/>
          <w:sz w:val="24"/>
          <w:szCs w:val="24"/>
        </w:rPr>
        <w:t xml:space="preserve"> (</w:t>
      </w:r>
      <w:r w:rsidR="003572B8" w:rsidRPr="003572B8">
        <w:rPr>
          <w:rFonts w:ascii="Times New Roman" w:hAnsi="Times New Roman" w:cs="Times New Roman"/>
          <w:i/>
          <w:iCs/>
          <w:sz w:val="24"/>
          <w:szCs w:val="24"/>
        </w:rPr>
        <w:t>Congress.gov | Library of Congress</w:t>
      </w:r>
      <w:r w:rsidR="003572B8" w:rsidRPr="003572B8">
        <w:rPr>
          <w:rFonts w:ascii="Times New Roman" w:hAnsi="Times New Roman" w:cs="Times New Roman"/>
          <w:sz w:val="24"/>
          <w:szCs w:val="24"/>
        </w:rPr>
        <w:t>, 2019</w:t>
      </w:r>
      <w:r w:rsidR="003572B8">
        <w:t>)</w:t>
      </w:r>
      <w:r w:rsidR="003667EE">
        <w:rPr>
          <w:rFonts w:ascii="Times New Roman" w:hAnsi="Times New Roman" w:cs="Times New Roman"/>
          <w:sz w:val="24"/>
          <w:szCs w:val="24"/>
        </w:rPr>
        <w:t xml:space="preserve">. On July 22, 1987, President Ronald Reagan signed the proposal </w:t>
      </w:r>
      <w:r w:rsidR="004C5185">
        <w:rPr>
          <w:rFonts w:ascii="Times New Roman" w:hAnsi="Times New Roman" w:cs="Times New Roman"/>
          <w:sz w:val="24"/>
          <w:szCs w:val="24"/>
        </w:rPr>
        <w:t>after the death of the Chief Republican Sponsor, Stewart McKinney. The act was renamed to the McKinney-Vento Act following the death of another representative, Bruce Vento by President William Clinton (</w:t>
      </w:r>
      <w:r w:rsidR="003572B8" w:rsidRPr="003572B8">
        <w:rPr>
          <w:rFonts w:ascii="Times New Roman" w:hAnsi="Times New Roman" w:cs="Times New Roman"/>
          <w:i/>
          <w:iCs/>
          <w:sz w:val="24"/>
          <w:szCs w:val="24"/>
        </w:rPr>
        <w:t>Congress.gov | Library of Congress</w:t>
      </w:r>
      <w:r w:rsidR="003572B8" w:rsidRPr="003572B8">
        <w:rPr>
          <w:rFonts w:ascii="Times New Roman" w:hAnsi="Times New Roman" w:cs="Times New Roman"/>
          <w:sz w:val="24"/>
          <w:szCs w:val="24"/>
        </w:rPr>
        <w:t>, 2019</w:t>
      </w:r>
      <w:r w:rsidR="003572B8">
        <w:t>)</w:t>
      </w:r>
      <w:r w:rsidR="004C5185">
        <w:rPr>
          <w:rFonts w:ascii="Times New Roman" w:hAnsi="Times New Roman" w:cs="Times New Roman"/>
          <w:sz w:val="24"/>
          <w:szCs w:val="24"/>
        </w:rPr>
        <w:t>.  In all there was a total of 111 cosponsors</w:t>
      </w:r>
      <w:r w:rsidR="00D074F9">
        <w:rPr>
          <w:rFonts w:ascii="Times New Roman" w:hAnsi="Times New Roman" w:cs="Times New Roman"/>
          <w:sz w:val="24"/>
          <w:szCs w:val="24"/>
        </w:rPr>
        <w:t xml:space="preserve">, 14 House and Senate roll call votes and two committees that contributed to the passing of this legislation. </w:t>
      </w:r>
      <w:r w:rsidR="003F78B8">
        <w:rPr>
          <w:rFonts w:ascii="Times New Roman" w:hAnsi="Times New Roman" w:cs="Times New Roman"/>
          <w:sz w:val="24"/>
          <w:szCs w:val="24"/>
        </w:rPr>
        <w:t xml:space="preserve">This bill was proposed during a time when the world was very chaotic and </w:t>
      </w:r>
      <w:r w:rsidR="003F78B8">
        <w:rPr>
          <w:rFonts w:ascii="Times New Roman" w:hAnsi="Times New Roman" w:cs="Times New Roman"/>
          <w:sz w:val="24"/>
          <w:szCs w:val="24"/>
        </w:rPr>
        <w:lastRenderedPageBreak/>
        <w:t>indifferent. It was during this time that the Vietnam and Reconstruction Era played out. Other world events such as the assassination of John F. Kennedy took place as well as the Civil Rights movement</w:t>
      </w:r>
      <w:r w:rsidR="002260BF">
        <w:rPr>
          <w:rFonts w:ascii="Times New Roman" w:hAnsi="Times New Roman" w:cs="Times New Roman"/>
          <w:sz w:val="24"/>
          <w:szCs w:val="24"/>
        </w:rPr>
        <w:t xml:space="preserve"> and bombing of the Chinese embassy</w:t>
      </w:r>
      <w:r w:rsidR="003F78B8">
        <w:rPr>
          <w:rFonts w:ascii="Times New Roman" w:hAnsi="Times New Roman" w:cs="Times New Roman"/>
          <w:sz w:val="24"/>
          <w:szCs w:val="24"/>
        </w:rPr>
        <w:t xml:space="preserve">. </w:t>
      </w:r>
      <w:r w:rsidR="00D074F9">
        <w:rPr>
          <w:rFonts w:ascii="Times New Roman" w:hAnsi="Times New Roman" w:cs="Times New Roman"/>
          <w:sz w:val="24"/>
          <w:szCs w:val="24"/>
        </w:rPr>
        <w:t xml:space="preserve">It was </w:t>
      </w:r>
      <w:r w:rsidR="002260BF">
        <w:rPr>
          <w:rFonts w:ascii="Times New Roman" w:hAnsi="Times New Roman" w:cs="Times New Roman"/>
          <w:sz w:val="24"/>
          <w:szCs w:val="24"/>
        </w:rPr>
        <w:t xml:space="preserve">also </w:t>
      </w:r>
      <w:r w:rsidR="00D074F9">
        <w:rPr>
          <w:rFonts w:ascii="Times New Roman" w:hAnsi="Times New Roman" w:cs="Times New Roman"/>
          <w:sz w:val="24"/>
          <w:szCs w:val="24"/>
        </w:rPr>
        <w:t>around this time</w:t>
      </w:r>
      <w:r w:rsidR="003F78B8">
        <w:rPr>
          <w:rFonts w:ascii="Times New Roman" w:hAnsi="Times New Roman" w:cs="Times New Roman"/>
          <w:sz w:val="24"/>
          <w:szCs w:val="24"/>
        </w:rPr>
        <w:t>,</w:t>
      </w:r>
      <w:r w:rsidR="00D074F9">
        <w:rPr>
          <w:rFonts w:ascii="Times New Roman" w:hAnsi="Times New Roman" w:cs="Times New Roman"/>
          <w:sz w:val="24"/>
          <w:szCs w:val="24"/>
        </w:rPr>
        <w:t xml:space="preserve"> that </w:t>
      </w:r>
      <w:r w:rsidR="002260BF">
        <w:rPr>
          <w:rFonts w:ascii="Times New Roman" w:hAnsi="Times New Roman" w:cs="Times New Roman"/>
          <w:sz w:val="24"/>
          <w:szCs w:val="24"/>
        </w:rPr>
        <w:t>p</w:t>
      </w:r>
      <w:r w:rsidR="00D074F9">
        <w:rPr>
          <w:rFonts w:ascii="Times New Roman" w:hAnsi="Times New Roman" w:cs="Times New Roman"/>
          <w:sz w:val="24"/>
          <w:szCs w:val="24"/>
        </w:rPr>
        <w:t xml:space="preserve">oll </w:t>
      </w:r>
      <w:r w:rsidR="002260BF">
        <w:rPr>
          <w:rFonts w:ascii="Times New Roman" w:hAnsi="Times New Roman" w:cs="Times New Roman"/>
          <w:sz w:val="24"/>
          <w:szCs w:val="24"/>
        </w:rPr>
        <w:t>t</w:t>
      </w:r>
      <w:r w:rsidR="00D074F9">
        <w:rPr>
          <w:rFonts w:ascii="Times New Roman" w:hAnsi="Times New Roman" w:cs="Times New Roman"/>
          <w:sz w:val="24"/>
          <w:szCs w:val="24"/>
        </w:rPr>
        <w:t>axes were implemente</w:t>
      </w:r>
      <w:r w:rsidR="002260BF">
        <w:rPr>
          <w:rFonts w:ascii="Times New Roman" w:hAnsi="Times New Roman" w:cs="Times New Roman"/>
          <w:sz w:val="24"/>
          <w:szCs w:val="24"/>
        </w:rPr>
        <w:t>d to indiscreetly deny blacks of the civil rights</w:t>
      </w:r>
      <w:r w:rsidR="00070FBB">
        <w:rPr>
          <w:rFonts w:ascii="Times New Roman" w:hAnsi="Times New Roman" w:cs="Times New Roman"/>
          <w:sz w:val="24"/>
          <w:szCs w:val="24"/>
        </w:rPr>
        <w:t xml:space="preserve"> which significantly impacted voting around this time</w:t>
      </w:r>
      <w:r w:rsidR="002260BF">
        <w:rPr>
          <w:rFonts w:ascii="Times New Roman" w:hAnsi="Times New Roman" w:cs="Times New Roman"/>
          <w:sz w:val="24"/>
          <w:szCs w:val="24"/>
        </w:rPr>
        <w:t xml:space="preserve"> </w:t>
      </w:r>
      <w:r w:rsidR="002260BF" w:rsidRPr="002260BF">
        <w:rPr>
          <w:rFonts w:ascii="Times New Roman" w:hAnsi="Times New Roman" w:cs="Times New Roman"/>
          <w:sz w:val="24"/>
          <w:szCs w:val="24"/>
        </w:rPr>
        <w:t>(</w:t>
      </w:r>
      <w:r w:rsidR="002260BF" w:rsidRPr="002260BF">
        <w:rPr>
          <w:rFonts w:ascii="Times New Roman" w:hAnsi="Times New Roman" w:cs="Times New Roman"/>
          <w:i/>
          <w:iCs/>
          <w:sz w:val="24"/>
          <w:szCs w:val="24"/>
        </w:rPr>
        <w:t>United States American History</w:t>
      </w:r>
      <w:r w:rsidR="002260BF" w:rsidRPr="002260BF">
        <w:rPr>
          <w:rFonts w:ascii="Times New Roman" w:hAnsi="Times New Roman" w:cs="Times New Roman"/>
          <w:sz w:val="24"/>
          <w:szCs w:val="24"/>
        </w:rPr>
        <w:t>, 2019)</w:t>
      </w:r>
      <w:r w:rsidR="002260BF">
        <w:rPr>
          <w:rFonts w:ascii="Times New Roman" w:hAnsi="Times New Roman" w:cs="Times New Roman"/>
          <w:sz w:val="24"/>
          <w:szCs w:val="24"/>
        </w:rPr>
        <w:t>.</w:t>
      </w:r>
      <w:r w:rsidR="00070FBB">
        <w:rPr>
          <w:rFonts w:ascii="Times New Roman" w:hAnsi="Times New Roman" w:cs="Times New Roman"/>
          <w:sz w:val="24"/>
          <w:szCs w:val="24"/>
        </w:rPr>
        <w:t xml:space="preserve"> </w:t>
      </w:r>
    </w:p>
    <w:p w14:paraId="73D523C9" w14:textId="77777777" w:rsidR="008F7599" w:rsidRDefault="008F7599" w:rsidP="008F7599">
      <w:pPr>
        <w:spacing w:before="240" w:line="480" w:lineRule="auto"/>
        <w:jc w:val="center"/>
        <w:rPr>
          <w:rFonts w:ascii="Times New Roman" w:hAnsi="Times New Roman" w:cs="Times New Roman"/>
          <w:sz w:val="24"/>
          <w:szCs w:val="24"/>
        </w:rPr>
      </w:pPr>
    </w:p>
    <w:p w14:paraId="48B76F68" w14:textId="77777777" w:rsidR="008F7599" w:rsidRDefault="008F7599" w:rsidP="008F7599">
      <w:pPr>
        <w:spacing w:before="240" w:line="480" w:lineRule="auto"/>
        <w:jc w:val="center"/>
        <w:rPr>
          <w:rFonts w:ascii="Times New Roman" w:hAnsi="Times New Roman" w:cs="Times New Roman"/>
          <w:sz w:val="24"/>
          <w:szCs w:val="24"/>
        </w:rPr>
      </w:pPr>
    </w:p>
    <w:p w14:paraId="00769BC3" w14:textId="77777777" w:rsidR="008F7599" w:rsidRDefault="008F7599" w:rsidP="008F7599">
      <w:pPr>
        <w:spacing w:before="240" w:line="480" w:lineRule="auto"/>
        <w:jc w:val="center"/>
        <w:rPr>
          <w:rFonts w:ascii="Times New Roman" w:hAnsi="Times New Roman" w:cs="Times New Roman"/>
          <w:sz w:val="24"/>
          <w:szCs w:val="24"/>
        </w:rPr>
      </w:pPr>
    </w:p>
    <w:p w14:paraId="2CE66F0A" w14:textId="614228A8" w:rsidR="003F78B8" w:rsidRDefault="003F78B8" w:rsidP="008F7599">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7163A47A" w14:textId="6DC5788F" w:rsidR="003F78B8" w:rsidRDefault="00D074F9" w:rsidP="003F78B8">
      <w:pPr>
        <w:pStyle w:val="NormalWeb"/>
        <w:spacing w:before="0" w:beforeAutospacing="0" w:after="0" w:afterAutospacing="0" w:line="480" w:lineRule="atLeast"/>
        <w:ind w:left="720" w:hanging="720"/>
        <w:rPr>
          <w:rFonts w:ascii="Calibri" w:hAnsi="Calibri" w:cs="Calibri"/>
          <w:color w:val="000000"/>
          <w:sz w:val="27"/>
          <w:szCs w:val="27"/>
        </w:rPr>
      </w:pPr>
      <w:r>
        <w:rPr>
          <w:rFonts w:ascii="Calibri" w:hAnsi="Calibri" w:cs="Calibri"/>
          <w:i/>
          <w:iCs/>
          <w:color w:val="000000"/>
          <w:sz w:val="27"/>
          <w:szCs w:val="27"/>
        </w:rPr>
        <w:t>The Beacon| Homeless Services| Houston</w:t>
      </w:r>
      <w:r>
        <w:rPr>
          <w:rFonts w:ascii="Calibri" w:hAnsi="Calibri" w:cs="Calibri"/>
          <w:color w:val="000000"/>
          <w:sz w:val="27"/>
          <w:szCs w:val="27"/>
        </w:rPr>
        <w:t xml:space="preserve">. (n.d.). The beacon. </w:t>
      </w:r>
      <w:hyperlink r:id="rId6" w:history="1">
        <w:r w:rsidR="003F78B8" w:rsidRPr="00A8485F">
          <w:rPr>
            <w:rStyle w:val="Hyperlink"/>
            <w:rFonts w:ascii="Calibri" w:hAnsi="Calibri" w:cs="Calibri"/>
            <w:sz w:val="27"/>
            <w:szCs w:val="27"/>
          </w:rPr>
          <w:t>https://www.beaconhomeless.org</w:t>
        </w:r>
      </w:hyperlink>
    </w:p>
    <w:p w14:paraId="1C9CF22D" w14:textId="77777777" w:rsidR="003F78B8" w:rsidRDefault="003F78B8" w:rsidP="003F78B8">
      <w:pPr>
        <w:pStyle w:val="NormalWeb"/>
        <w:spacing w:before="0" w:beforeAutospacing="0" w:after="0" w:afterAutospacing="0" w:line="480" w:lineRule="atLeast"/>
        <w:ind w:left="720" w:hanging="720"/>
        <w:rPr>
          <w:rFonts w:ascii="Calibri" w:hAnsi="Calibri" w:cs="Calibri"/>
          <w:i/>
          <w:iCs/>
          <w:color w:val="000000"/>
          <w:sz w:val="27"/>
          <w:szCs w:val="27"/>
        </w:rPr>
      </w:pPr>
    </w:p>
    <w:p w14:paraId="3BCA0863" w14:textId="4CCF5315" w:rsidR="003572B8" w:rsidRDefault="003572B8" w:rsidP="003F78B8">
      <w:pPr>
        <w:pStyle w:val="NormalWeb"/>
        <w:spacing w:before="0" w:beforeAutospacing="0" w:after="0" w:afterAutospacing="0" w:line="480" w:lineRule="atLeast"/>
        <w:ind w:left="720" w:hanging="720"/>
        <w:rPr>
          <w:rFonts w:ascii="Calibri" w:hAnsi="Calibri" w:cs="Calibri"/>
          <w:color w:val="000000"/>
          <w:sz w:val="27"/>
          <w:szCs w:val="27"/>
        </w:rPr>
      </w:pPr>
      <w:r>
        <w:rPr>
          <w:rFonts w:ascii="Calibri" w:hAnsi="Calibri" w:cs="Calibri"/>
          <w:i/>
          <w:iCs/>
          <w:color w:val="000000"/>
          <w:sz w:val="27"/>
          <w:szCs w:val="27"/>
        </w:rPr>
        <w:t>Congress.gov | Library of Congress</w:t>
      </w:r>
      <w:r>
        <w:rPr>
          <w:rFonts w:ascii="Calibri" w:hAnsi="Calibri" w:cs="Calibri"/>
          <w:color w:val="000000"/>
          <w:sz w:val="27"/>
          <w:szCs w:val="27"/>
        </w:rPr>
        <w:t xml:space="preserve">. (2019). Congress.gov. </w:t>
      </w:r>
      <w:hyperlink r:id="rId7" w:history="1">
        <w:r w:rsidR="003F78B8" w:rsidRPr="00A8485F">
          <w:rPr>
            <w:rStyle w:val="Hyperlink"/>
            <w:rFonts w:ascii="Calibri" w:hAnsi="Calibri" w:cs="Calibri"/>
            <w:sz w:val="27"/>
            <w:szCs w:val="27"/>
          </w:rPr>
          <w:t>https://www.congress.gov</w:t>
        </w:r>
      </w:hyperlink>
      <w:r w:rsidR="003F78B8">
        <w:rPr>
          <w:rFonts w:ascii="Calibri" w:hAnsi="Calibri" w:cs="Calibri"/>
          <w:color w:val="000000"/>
          <w:sz w:val="27"/>
          <w:szCs w:val="27"/>
        </w:rPr>
        <w:t xml:space="preserve"> </w:t>
      </w:r>
    </w:p>
    <w:p w14:paraId="1936614D" w14:textId="77777777" w:rsidR="002260BF" w:rsidRDefault="003572B8" w:rsidP="002260BF">
      <w:pPr>
        <w:pStyle w:val="NormalWeb"/>
        <w:spacing w:before="0" w:beforeAutospacing="0" w:after="0" w:afterAutospacing="0" w:line="480" w:lineRule="atLeast"/>
        <w:ind w:left="720" w:hanging="720"/>
        <w:rPr>
          <w:rFonts w:ascii="Calibri" w:hAnsi="Calibri" w:cs="Calibri"/>
          <w:i/>
          <w:iCs/>
          <w:color w:val="000000"/>
          <w:sz w:val="27"/>
          <w:szCs w:val="27"/>
        </w:rPr>
      </w:pPr>
      <w:r>
        <w:rPr>
          <w:rFonts w:ascii="Calibri" w:hAnsi="Calibri" w:cs="Calibri"/>
          <w:color w:val="000000"/>
          <w:sz w:val="27"/>
          <w:szCs w:val="27"/>
        </w:rPr>
        <w:t>‌</w:t>
      </w:r>
      <w:r w:rsidR="002260BF" w:rsidRPr="002260BF">
        <w:rPr>
          <w:rFonts w:ascii="Calibri" w:hAnsi="Calibri" w:cs="Calibri"/>
          <w:i/>
          <w:iCs/>
          <w:color w:val="000000"/>
          <w:sz w:val="27"/>
          <w:szCs w:val="27"/>
        </w:rPr>
        <w:t xml:space="preserve"> </w:t>
      </w:r>
    </w:p>
    <w:p w14:paraId="7921EEA8" w14:textId="3579B3C1" w:rsidR="002260BF" w:rsidRDefault="002260BF" w:rsidP="002260BF">
      <w:pPr>
        <w:pStyle w:val="NormalWeb"/>
        <w:spacing w:before="0" w:beforeAutospacing="0" w:after="0" w:afterAutospacing="0" w:line="480" w:lineRule="atLeast"/>
        <w:ind w:left="720" w:hanging="720"/>
        <w:rPr>
          <w:rFonts w:ascii="Calibri" w:hAnsi="Calibri" w:cs="Calibri"/>
          <w:color w:val="000000"/>
          <w:sz w:val="27"/>
          <w:szCs w:val="27"/>
        </w:rPr>
      </w:pPr>
      <w:r>
        <w:rPr>
          <w:rFonts w:ascii="Calibri" w:hAnsi="Calibri" w:cs="Calibri"/>
          <w:i/>
          <w:iCs/>
          <w:color w:val="000000"/>
          <w:sz w:val="27"/>
          <w:szCs w:val="27"/>
        </w:rPr>
        <w:t>United States American History</w:t>
      </w:r>
      <w:r>
        <w:rPr>
          <w:rFonts w:ascii="Calibri" w:hAnsi="Calibri" w:cs="Calibri"/>
          <w:color w:val="000000"/>
          <w:sz w:val="27"/>
          <w:szCs w:val="27"/>
        </w:rPr>
        <w:t xml:space="preserve">. (2019). U-s-History.com. </w:t>
      </w:r>
      <w:hyperlink r:id="rId8" w:history="1">
        <w:r w:rsidRPr="00A8485F">
          <w:rPr>
            <w:rStyle w:val="Hyperlink"/>
            <w:rFonts w:ascii="Calibri" w:hAnsi="Calibri" w:cs="Calibri"/>
            <w:sz w:val="27"/>
            <w:szCs w:val="27"/>
          </w:rPr>
          <w:t>https://www.u-s-history.com/</w:t>
        </w:r>
      </w:hyperlink>
      <w:r>
        <w:rPr>
          <w:rFonts w:ascii="Calibri" w:hAnsi="Calibri" w:cs="Calibri"/>
          <w:color w:val="000000"/>
          <w:sz w:val="27"/>
          <w:szCs w:val="27"/>
        </w:rPr>
        <w:t xml:space="preserve"> </w:t>
      </w:r>
    </w:p>
    <w:p w14:paraId="25CD98E5" w14:textId="77777777" w:rsidR="002260BF" w:rsidRDefault="002260BF" w:rsidP="002260BF">
      <w:pPr>
        <w:pStyle w:val="NormalWeb"/>
        <w:rPr>
          <w:rFonts w:ascii="Calibri" w:hAnsi="Calibri" w:cs="Calibri"/>
          <w:color w:val="000000"/>
          <w:sz w:val="27"/>
          <w:szCs w:val="27"/>
        </w:rPr>
      </w:pPr>
      <w:r>
        <w:rPr>
          <w:rFonts w:ascii="Calibri" w:hAnsi="Calibri" w:cs="Calibri"/>
          <w:color w:val="000000"/>
          <w:sz w:val="27"/>
          <w:szCs w:val="27"/>
        </w:rPr>
        <w:t>‌</w:t>
      </w:r>
    </w:p>
    <w:p w14:paraId="50B08419" w14:textId="5B6F5864" w:rsidR="003572B8" w:rsidRDefault="003572B8" w:rsidP="003572B8">
      <w:pPr>
        <w:pStyle w:val="NormalWeb"/>
        <w:rPr>
          <w:rFonts w:ascii="Calibri" w:hAnsi="Calibri" w:cs="Calibri"/>
          <w:color w:val="000000"/>
          <w:sz w:val="27"/>
          <w:szCs w:val="27"/>
        </w:rPr>
      </w:pPr>
    </w:p>
    <w:p w14:paraId="2025C730" w14:textId="64574198" w:rsidR="00211738" w:rsidRDefault="00211738" w:rsidP="003667EE">
      <w:pPr>
        <w:spacing w:line="480" w:lineRule="auto"/>
        <w:ind w:firstLine="720"/>
        <w:rPr>
          <w:rFonts w:ascii="Times New Roman" w:hAnsi="Times New Roman" w:cs="Times New Roman"/>
          <w:sz w:val="24"/>
          <w:szCs w:val="24"/>
        </w:rPr>
      </w:pPr>
    </w:p>
    <w:p w14:paraId="027C572A" w14:textId="77288BCB" w:rsidR="00211738" w:rsidRDefault="00211738" w:rsidP="003667EE">
      <w:pPr>
        <w:spacing w:line="480" w:lineRule="auto"/>
        <w:ind w:firstLine="720"/>
        <w:rPr>
          <w:rFonts w:ascii="Times New Roman" w:hAnsi="Times New Roman" w:cs="Times New Roman"/>
          <w:sz w:val="24"/>
          <w:szCs w:val="24"/>
        </w:rPr>
      </w:pPr>
    </w:p>
    <w:p w14:paraId="6987EB06" w14:textId="1E5034E6" w:rsidR="00211738" w:rsidRDefault="00211738" w:rsidP="003667EE">
      <w:pPr>
        <w:spacing w:line="480" w:lineRule="auto"/>
        <w:ind w:firstLine="720"/>
        <w:rPr>
          <w:rFonts w:ascii="Times New Roman" w:hAnsi="Times New Roman" w:cs="Times New Roman"/>
          <w:sz w:val="24"/>
          <w:szCs w:val="24"/>
        </w:rPr>
      </w:pPr>
    </w:p>
    <w:p w14:paraId="060A2EBB" w14:textId="4FAF60DF" w:rsidR="00211738" w:rsidRDefault="00211738" w:rsidP="003667EE">
      <w:pPr>
        <w:spacing w:line="480" w:lineRule="auto"/>
        <w:ind w:firstLine="720"/>
        <w:rPr>
          <w:rFonts w:ascii="Times New Roman" w:hAnsi="Times New Roman" w:cs="Times New Roman"/>
          <w:sz w:val="24"/>
          <w:szCs w:val="24"/>
        </w:rPr>
      </w:pPr>
    </w:p>
    <w:p w14:paraId="162439E9" w14:textId="06CE4C88" w:rsidR="00211738" w:rsidRDefault="00211738" w:rsidP="003667EE">
      <w:pPr>
        <w:spacing w:line="480" w:lineRule="auto"/>
        <w:ind w:firstLine="720"/>
        <w:rPr>
          <w:rFonts w:ascii="Times New Roman" w:hAnsi="Times New Roman" w:cs="Times New Roman"/>
          <w:sz w:val="24"/>
          <w:szCs w:val="24"/>
        </w:rPr>
      </w:pPr>
    </w:p>
    <w:p w14:paraId="335AA951" w14:textId="381E4CD6" w:rsidR="00211738" w:rsidRDefault="00211738" w:rsidP="003667EE">
      <w:pPr>
        <w:spacing w:line="480" w:lineRule="auto"/>
        <w:ind w:firstLine="720"/>
        <w:rPr>
          <w:rFonts w:ascii="Times New Roman" w:hAnsi="Times New Roman" w:cs="Times New Roman"/>
          <w:sz w:val="24"/>
          <w:szCs w:val="24"/>
        </w:rPr>
      </w:pPr>
    </w:p>
    <w:p w14:paraId="7D76815C" w14:textId="464D9B89" w:rsidR="00211738" w:rsidRDefault="00211738" w:rsidP="003667EE">
      <w:pPr>
        <w:spacing w:line="480" w:lineRule="auto"/>
        <w:ind w:firstLine="720"/>
        <w:rPr>
          <w:rFonts w:ascii="Times New Roman" w:hAnsi="Times New Roman" w:cs="Times New Roman"/>
          <w:sz w:val="24"/>
          <w:szCs w:val="24"/>
        </w:rPr>
      </w:pPr>
    </w:p>
    <w:p w14:paraId="2A54AD03" w14:textId="0D7E288E" w:rsidR="00211738" w:rsidRDefault="00211738" w:rsidP="003667EE">
      <w:pPr>
        <w:spacing w:line="480" w:lineRule="auto"/>
        <w:ind w:firstLine="720"/>
        <w:rPr>
          <w:rFonts w:ascii="Times New Roman" w:hAnsi="Times New Roman" w:cs="Times New Roman"/>
          <w:sz w:val="24"/>
          <w:szCs w:val="24"/>
        </w:rPr>
      </w:pPr>
    </w:p>
    <w:p w14:paraId="3BE6889B" w14:textId="161384EB" w:rsidR="00211738" w:rsidRDefault="00211738" w:rsidP="003667EE">
      <w:pPr>
        <w:spacing w:line="480" w:lineRule="auto"/>
        <w:ind w:firstLine="720"/>
        <w:rPr>
          <w:rFonts w:ascii="Times New Roman" w:hAnsi="Times New Roman" w:cs="Times New Roman"/>
          <w:sz w:val="24"/>
          <w:szCs w:val="24"/>
        </w:rPr>
      </w:pPr>
    </w:p>
    <w:p w14:paraId="05DEE059" w14:textId="525179EB" w:rsidR="00211738" w:rsidRDefault="00211738" w:rsidP="003667EE">
      <w:pPr>
        <w:spacing w:line="480" w:lineRule="auto"/>
        <w:ind w:firstLine="720"/>
        <w:rPr>
          <w:rFonts w:ascii="Times New Roman" w:hAnsi="Times New Roman" w:cs="Times New Roman"/>
          <w:sz w:val="24"/>
          <w:szCs w:val="24"/>
        </w:rPr>
      </w:pPr>
    </w:p>
    <w:p w14:paraId="1ABF0012" w14:textId="2C7261E5" w:rsidR="00211738" w:rsidRDefault="00211738" w:rsidP="003667EE">
      <w:pPr>
        <w:spacing w:line="480" w:lineRule="auto"/>
        <w:ind w:firstLine="720"/>
        <w:rPr>
          <w:rFonts w:ascii="Times New Roman" w:hAnsi="Times New Roman" w:cs="Times New Roman"/>
          <w:sz w:val="24"/>
          <w:szCs w:val="24"/>
        </w:rPr>
      </w:pPr>
    </w:p>
    <w:p w14:paraId="3B22603D" w14:textId="30D2DA07" w:rsidR="00211738" w:rsidRDefault="00211738" w:rsidP="003667EE">
      <w:pPr>
        <w:spacing w:line="480" w:lineRule="auto"/>
        <w:ind w:firstLine="720"/>
        <w:rPr>
          <w:rFonts w:ascii="Times New Roman" w:hAnsi="Times New Roman" w:cs="Times New Roman"/>
          <w:sz w:val="24"/>
          <w:szCs w:val="24"/>
        </w:rPr>
      </w:pPr>
    </w:p>
    <w:p w14:paraId="24031E87" w14:textId="26B6EEAC" w:rsidR="00211738" w:rsidRDefault="00211738" w:rsidP="003667EE">
      <w:pPr>
        <w:spacing w:line="480" w:lineRule="auto"/>
        <w:ind w:firstLine="720"/>
        <w:rPr>
          <w:rFonts w:ascii="Times New Roman" w:hAnsi="Times New Roman" w:cs="Times New Roman"/>
          <w:sz w:val="24"/>
          <w:szCs w:val="24"/>
        </w:rPr>
      </w:pPr>
    </w:p>
    <w:p w14:paraId="52EEF6DA" w14:textId="3480F624" w:rsidR="00211738" w:rsidRDefault="00211738" w:rsidP="003667EE">
      <w:pPr>
        <w:spacing w:line="480" w:lineRule="auto"/>
        <w:ind w:firstLine="720"/>
        <w:rPr>
          <w:rFonts w:ascii="Times New Roman" w:hAnsi="Times New Roman" w:cs="Times New Roman"/>
          <w:sz w:val="24"/>
          <w:szCs w:val="24"/>
        </w:rPr>
      </w:pPr>
    </w:p>
    <w:p w14:paraId="526FA0F6" w14:textId="1F7EEE10" w:rsidR="00211738" w:rsidRDefault="00211738" w:rsidP="003667EE">
      <w:pPr>
        <w:spacing w:line="480" w:lineRule="auto"/>
        <w:ind w:firstLine="720"/>
        <w:rPr>
          <w:rFonts w:ascii="Times New Roman" w:hAnsi="Times New Roman" w:cs="Times New Roman"/>
          <w:sz w:val="24"/>
          <w:szCs w:val="24"/>
        </w:rPr>
      </w:pPr>
    </w:p>
    <w:p w14:paraId="637F967B" w14:textId="30BCCF24" w:rsidR="00211738" w:rsidRDefault="00211738" w:rsidP="003667EE">
      <w:pPr>
        <w:spacing w:line="480" w:lineRule="auto"/>
        <w:ind w:firstLine="720"/>
        <w:rPr>
          <w:rFonts w:ascii="Times New Roman" w:hAnsi="Times New Roman" w:cs="Times New Roman"/>
          <w:sz w:val="24"/>
          <w:szCs w:val="24"/>
        </w:rPr>
      </w:pPr>
    </w:p>
    <w:p w14:paraId="5663657A" w14:textId="3E38EB83" w:rsidR="00211738" w:rsidRDefault="00211738" w:rsidP="003667EE">
      <w:pPr>
        <w:spacing w:line="480" w:lineRule="auto"/>
        <w:ind w:firstLine="720"/>
        <w:rPr>
          <w:rFonts w:ascii="Times New Roman" w:hAnsi="Times New Roman" w:cs="Times New Roman"/>
          <w:sz w:val="24"/>
          <w:szCs w:val="24"/>
        </w:rPr>
      </w:pPr>
    </w:p>
    <w:p w14:paraId="28AFD38A" w14:textId="7C530B87" w:rsidR="00211738" w:rsidRDefault="00211738" w:rsidP="003667EE">
      <w:pPr>
        <w:spacing w:line="480" w:lineRule="auto"/>
        <w:ind w:firstLine="720"/>
        <w:rPr>
          <w:rFonts w:ascii="Times New Roman" w:hAnsi="Times New Roman" w:cs="Times New Roman"/>
          <w:sz w:val="24"/>
          <w:szCs w:val="24"/>
        </w:rPr>
      </w:pPr>
    </w:p>
    <w:p w14:paraId="18EE354D" w14:textId="057F9D2C" w:rsidR="00211738" w:rsidRDefault="00211738" w:rsidP="003667EE">
      <w:pPr>
        <w:spacing w:line="480" w:lineRule="auto"/>
        <w:ind w:firstLine="720"/>
        <w:rPr>
          <w:rFonts w:ascii="Times New Roman" w:hAnsi="Times New Roman" w:cs="Times New Roman"/>
          <w:sz w:val="24"/>
          <w:szCs w:val="24"/>
        </w:rPr>
      </w:pPr>
    </w:p>
    <w:p w14:paraId="0BBD5E6E" w14:textId="7ADC5356" w:rsidR="00211738" w:rsidRDefault="00211738" w:rsidP="003667EE">
      <w:pPr>
        <w:spacing w:line="480" w:lineRule="auto"/>
        <w:ind w:firstLine="720"/>
        <w:rPr>
          <w:rFonts w:ascii="Times New Roman" w:hAnsi="Times New Roman" w:cs="Times New Roman"/>
          <w:sz w:val="24"/>
          <w:szCs w:val="24"/>
        </w:rPr>
      </w:pPr>
    </w:p>
    <w:p w14:paraId="7175FEFA" w14:textId="56C3BD06" w:rsidR="00211738" w:rsidRDefault="00211738" w:rsidP="003667EE">
      <w:pPr>
        <w:spacing w:line="480" w:lineRule="auto"/>
        <w:ind w:firstLine="720"/>
        <w:rPr>
          <w:rFonts w:ascii="Times New Roman" w:hAnsi="Times New Roman" w:cs="Times New Roman"/>
          <w:sz w:val="24"/>
          <w:szCs w:val="24"/>
        </w:rPr>
      </w:pPr>
    </w:p>
    <w:p w14:paraId="2E3760EE" w14:textId="1D8E4475" w:rsidR="00211738" w:rsidRDefault="00211738" w:rsidP="003667EE">
      <w:pPr>
        <w:spacing w:line="480" w:lineRule="auto"/>
        <w:ind w:firstLine="720"/>
        <w:rPr>
          <w:rFonts w:ascii="Times New Roman" w:hAnsi="Times New Roman" w:cs="Times New Roman"/>
          <w:sz w:val="24"/>
          <w:szCs w:val="24"/>
        </w:rPr>
      </w:pPr>
    </w:p>
    <w:p w14:paraId="75E5069B" w14:textId="6E3B5ACC" w:rsidR="00211738" w:rsidRDefault="00211738" w:rsidP="003667EE">
      <w:pPr>
        <w:spacing w:line="480" w:lineRule="auto"/>
        <w:ind w:firstLine="720"/>
        <w:rPr>
          <w:rFonts w:ascii="Times New Roman" w:hAnsi="Times New Roman" w:cs="Times New Roman"/>
          <w:sz w:val="24"/>
          <w:szCs w:val="24"/>
        </w:rPr>
      </w:pPr>
    </w:p>
    <w:p w14:paraId="761732ED" w14:textId="7309A0CF" w:rsidR="00211738" w:rsidRDefault="00211738" w:rsidP="003667EE">
      <w:pPr>
        <w:spacing w:line="480" w:lineRule="auto"/>
        <w:ind w:firstLine="720"/>
        <w:rPr>
          <w:rFonts w:ascii="Times New Roman" w:hAnsi="Times New Roman" w:cs="Times New Roman"/>
          <w:sz w:val="24"/>
          <w:szCs w:val="24"/>
        </w:rPr>
      </w:pPr>
    </w:p>
    <w:p w14:paraId="536B28FF" w14:textId="5110ABF5" w:rsidR="00211738" w:rsidRDefault="00211738" w:rsidP="003667EE">
      <w:pPr>
        <w:spacing w:line="480" w:lineRule="auto"/>
        <w:ind w:firstLine="720"/>
        <w:rPr>
          <w:rFonts w:ascii="Times New Roman" w:hAnsi="Times New Roman" w:cs="Times New Roman"/>
          <w:sz w:val="24"/>
          <w:szCs w:val="24"/>
        </w:rPr>
      </w:pPr>
    </w:p>
    <w:p w14:paraId="07A1B05F" w14:textId="60F7E23C" w:rsidR="00211738" w:rsidRDefault="00211738" w:rsidP="003667EE">
      <w:pPr>
        <w:spacing w:line="480" w:lineRule="auto"/>
        <w:ind w:firstLine="720"/>
        <w:rPr>
          <w:rFonts w:ascii="Times New Roman" w:hAnsi="Times New Roman" w:cs="Times New Roman"/>
          <w:sz w:val="24"/>
          <w:szCs w:val="24"/>
        </w:rPr>
      </w:pPr>
    </w:p>
    <w:p w14:paraId="20AEFAB4" w14:textId="73D49C3C" w:rsidR="00211738" w:rsidRDefault="00211738" w:rsidP="003667EE">
      <w:pPr>
        <w:spacing w:line="480" w:lineRule="auto"/>
        <w:ind w:firstLine="720"/>
        <w:rPr>
          <w:rFonts w:ascii="Times New Roman" w:hAnsi="Times New Roman" w:cs="Times New Roman"/>
          <w:sz w:val="24"/>
          <w:szCs w:val="24"/>
        </w:rPr>
      </w:pPr>
    </w:p>
    <w:p w14:paraId="3E7AA9A0" w14:textId="02CA3479" w:rsidR="00211738" w:rsidRDefault="00211738" w:rsidP="003667EE">
      <w:pPr>
        <w:spacing w:line="480" w:lineRule="auto"/>
        <w:ind w:firstLine="720"/>
        <w:rPr>
          <w:rFonts w:ascii="Times New Roman" w:hAnsi="Times New Roman" w:cs="Times New Roman"/>
          <w:sz w:val="24"/>
          <w:szCs w:val="24"/>
        </w:rPr>
      </w:pPr>
    </w:p>
    <w:p w14:paraId="224BB52A" w14:textId="4D71D05F" w:rsidR="00211738" w:rsidRDefault="00211738" w:rsidP="003667EE">
      <w:pPr>
        <w:spacing w:line="480" w:lineRule="auto"/>
        <w:ind w:firstLine="720"/>
        <w:rPr>
          <w:rFonts w:ascii="Times New Roman" w:hAnsi="Times New Roman" w:cs="Times New Roman"/>
          <w:sz w:val="24"/>
          <w:szCs w:val="24"/>
        </w:rPr>
      </w:pPr>
    </w:p>
    <w:p w14:paraId="22539B43" w14:textId="7C782F81" w:rsidR="00211738" w:rsidRDefault="00211738" w:rsidP="003667EE">
      <w:pPr>
        <w:spacing w:line="480" w:lineRule="auto"/>
        <w:ind w:firstLine="720"/>
        <w:rPr>
          <w:rFonts w:ascii="Times New Roman" w:hAnsi="Times New Roman" w:cs="Times New Roman"/>
          <w:sz w:val="24"/>
          <w:szCs w:val="24"/>
        </w:rPr>
      </w:pPr>
    </w:p>
    <w:p w14:paraId="29C363B9" w14:textId="47D56D6C" w:rsidR="00211738" w:rsidRDefault="00211738" w:rsidP="003667EE">
      <w:pPr>
        <w:spacing w:line="480" w:lineRule="auto"/>
        <w:ind w:firstLine="720"/>
        <w:rPr>
          <w:rFonts w:ascii="Times New Roman" w:hAnsi="Times New Roman" w:cs="Times New Roman"/>
          <w:sz w:val="24"/>
          <w:szCs w:val="24"/>
        </w:rPr>
      </w:pPr>
    </w:p>
    <w:p w14:paraId="61D3B16F" w14:textId="114ACA11" w:rsidR="00211738" w:rsidRDefault="00211738" w:rsidP="003667EE">
      <w:pPr>
        <w:spacing w:line="480" w:lineRule="auto"/>
        <w:ind w:firstLine="720"/>
        <w:rPr>
          <w:rFonts w:ascii="Times New Roman" w:hAnsi="Times New Roman" w:cs="Times New Roman"/>
          <w:sz w:val="24"/>
          <w:szCs w:val="24"/>
        </w:rPr>
      </w:pPr>
    </w:p>
    <w:p w14:paraId="7D36A060" w14:textId="33B3778A" w:rsidR="00211738" w:rsidRDefault="00211738" w:rsidP="003667EE">
      <w:pPr>
        <w:spacing w:line="480" w:lineRule="auto"/>
        <w:ind w:firstLine="720"/>
        <w:rPr>
          <w:rFonts w:ascii="Times New Roman" w:hAnsi="Times New Roman" w:cs="Times New Roman"/>
          <w:sz w:val="24"/>
          <w:szCs w:val="24"/>
        </w:rPr>
      </w:pPr>
    </w:p>
    <w:p w14:paraId="06FDBBEF" w14:textId="4F1F6849" w:rsidR="00211738" w:rsidRDefault="00211738" w:rsidP="003667EE">
      <w:pPr>
        <w:spacing w:line="480" w:lineRule="auto"/>
        <w:ind w:firstLine="720"/>
        <w:rPr>
          <w:rFonts w:ascii="Times New Roman" w:hAnsi="Times New Roman" w:cs="Times New Roman"/>
          <w:sz w:val="24"/>
          <w:szCs w:val="24"/>
        </w:rPr>
      </w:pPr>
    </w:p>
    <w:p w14:paraId="02F095A9" w14:textId="62AA1F67" w:rsidR="00211738" w:rsidRDefault="00211738" w:rsidP="003667EE">
      <w:pPr>
        <w:spacing w:line="480" w:lineRule="auto"/>
        <w:ind w:firstLine="720"/>
        <w:rPr>
          <w:rFonts w:ascii="Times New Roman" w:hAnsi="Times New Roman" w:cs="Times New Roman"/>
          <w:sz w:val="24"/>
          <w:szCs w:val="24"/>
        </w:rPr>
      </w:pPr>
    </w:p>
    <w:p w14:paraId="3383964D" w14:textId="5A29D752" w:rsidR="00211738" w:rsidRDefault="00211738" w:rsidP="003667EE">
      <w:pPr>
        <w:spacing w:line="480" w:lineRule="auto"/>
        <w:ind w:firstLine="720"/>
        <w:rPr>
          <w:rFonts w:ascii="Times New Roman" w:hAnsi="Times New Roman" w:cs="Times New Roman"/>
          <w:sz w:val="24"/>
          <w:szCs w:val="24"/>
        </w:rPr>
      </w:pPr>
    </w:p>
    <w:p w14:paraId="12364C58" w14:textId="481B807E" w:rsidR="00211738" w:rsidRDefault="00211738" w:rsidP="003667EE">
      <w:pPr>
        <w:spacing w:line="480" w:lineRule="auto"/>
        <w:ind w:firstLine="720"/>
        <w:rPr>
          <w:rFonts w:ascii="Times New Roman" w:hAnsi="Times New Roman" w:cs="Times New Roman"/>
          <w:sz w:val="24"/>
          <w:szCs w:val="24"/>
        </w:rPr>
      </w:pPr>
    </w:p>
    <w:p w14:paraId="621D4846" w14:textId="186A91DB" w:rsidR="00211738" w:rsidRDefault="00211738" w:rsidP="003667EE">
      <w:pPr>
        <w:spacing w:line="480" w:lineRule="auto"/>
        <w:ind w:firstLine="720"/>
        <w:rPr>
          <w:rFonts w:ascii="Times New Roman" w:hAnsi="Times New Roman" w:cs="Times New Roman"/>
          <w:sz w:val="24"/>
          <w:szCs w:val="24"/>
        </w:rPr>
      </w:pPr>
    </w:p>
    <w:p w14:paraId="4B6A2BAA" w14:textId="77777777" w:rsidR="00211738" w:rsidRDefault="00211738" w:rsidP="003667EE">
      <w:pPr>
        <w:spacing w:line="480" w:lineRule="auto"/>
        <w:ind w:firstLine="720"/>
        <w:rPr>
          <w:rFonts w:ascii="Times New Roman" w:hAnsi="Times New Roman" w:cs="Times New Roman"/>
          <w:sz w:val="36"/>
          <w:szCs w:val="36"/>
        </w:rPr>
      </w:pPr>
    </w:p>
    <w:p w14:paraId="1993A48D" w14:textId="501C694C" w:rsidR="00DA6D5A" w:rsidRDefault="00DA6D5A" w:rsidP="00DA6D5A">
      <w:pPr>
        <w:jc w:val="center"/>
        <w:rPr>
          <w:rFonts w:ascii="Times New Roman" w:hAnsi="Times New Roman" w:cs="Times New Roman"/>
          <w:sz w:val="36"/>
          <w:szCs w:val="36"/>
        </w:rPr>
      </w:pPr>
    </w:p>
    <w:p w14:paraId="6D006BAA" w14:textId="442F378B" w:rsidR="00DA6D5A" w:rsidRDefault="00DA6D5A" w:rsidP="00DA6D5A">
      <w:pPr>
        <w:jc w:val="center"/>
        <w:rPr>
          <w:rFonts w:ascii="Times New Roman" w:hAnsi="Times New Roman" w:cs="Times New Roman"/>
          <w:sz w:val="36"/>
          <w:szCs w:val="36"/>
        </w:rPr>
      </w:pPr>
    </w:p>
    <w:p w14:paraId="6272A0CB" w14:textId="77777777" w:rsidR="00DA6D5A" w:rsidRPr="00DA6D5A" w:rsidRDefault="00DA6D5A" w:rsidP="00DA6D5A">
      <w:pPr>
        <w:rPr>
          <w:rFonts w:ascii="Times New Roman" w:hAnsi="Times New Roman" w:cs="Times New Roman"/>
          <w:sz w:val="36"/>
          <w:szCs w:val="36"/>
        </w:rPr>
      </w:pPr>
    </w:p>
    <w:sectPr w:rsidR="00DA6D5A" w:rsidRPr="00DA6D5A" w:rsidSect="008F759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D1BB1" w14:textId="77777777" w:rsidR="008F7599" w:rsidRDefault="008F7599" w:rsidP="008F7599">
      <w:pPr>
        <w:spacing w:after="0" w:line="240" w:lineRule="auto"/>
      </w:pPr>
      <w:r>
        <w:separator/>
      </w:r>
    </w:p>
  </w:endnote>
  <w:endnote w:type="continuationSeparator" w:id="0">
    <w:p w14:paraId="0E15CE83" w14:textId="77777777" w:rsidR="008F7599" w:rsidRDefault="008F7599" w:rsidP="008F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691E6" w14:textId="77777777" w:rsidR="008F7599" w:rsidRDefault="008F7599" w:rsidP="008F7599">
      <w:pPr>
        <w:spacing w:after="0" w:line="240" w:lineRule="auto"/>
      </w:pPr>
      <w:r>
        <w:separator/>
      </w:r>
    </w:p>
  </w:footnote>
  <w:footnote w:type="continuationSeparator" w:id="0">
    <w:p w14:paraId="5FBF5923" w14:textId="77777777" w:rsidR="008F7599" w:rsidRDefault="008F7599" w:rsidP="008F7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87D5" w14:textId="249D6680" w:rsidR="008F7599" w:rsidRDefault="008F7599">
    <w:pPr>
      <w:pStyle w:val="Header"/>
    </w:pPr>
  </w:p>
  <w:p w14:paraId="39EFCEAC" w14:textId="77777777" w:rsidR="008F7599" w:rsidRDefault="008F7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98136" w14:textId="672DA88B" w:rsidR="008F7599" w:rsidRDefault="008F7599">
    <w:pPr>
      <w:pStyle w:val="Header"/>
    </w:pPr>
    <w:r>
      <w:tab/>
    </w:r>
    <w:r>
      <w:tab/>
      <w:t>Hayes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5A"/>
    <w:rsid w:val="00055AE7"/>
    <w:rsid w:val="00070FBB"/>
    <w:rsid w:val="00080DB2"/>
    <w:rsid w:val="001C19A8"/>
    <w:rsid w:val="001D4DF8"/>
    <w:rsid w:val="00211738"/>
    <w:rsid w:val="002260BF"/>
    <w:rsid w:val="003572B8"/>
    <w:rsid w:val="003667EE"/>
    <w:rsid w:val="003F78B8"/>
    <w:rsid w:val="004C5185"/>
    <w:rsid w:val="00583E0A"/>
    <w:rsid w:val="006135FC"/>
    <w:rsid w:val="00621337"/>
    <w:rsid w:val="0063269F"/>
    <w:rsid w:val="006A5660"/>
    <w:rsid w:val="0075064B"/>
    <w:rsid w:val="0076789B"/>
    <w:rsid w:val="00802930"/>
    <w:rsid w:val="008B7719"/>
    <w:rsid w:val="008F7599"/>
    <w:rsid w:val="00B67F3F"/>
    <w:rsid w:val="00C36387"/>
    <w:rsid w:val="00CC501F"/>
    <w:rsid w:val="00D074F9"/>
    <w:rsid w:val="00DA6D5A"/>
    <w:rsid w:val="00F75462"/>
    <w:rsid w:val="00F9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524B"/>
  <w15:chartTrackingRefBased/>
  <w15:docId w15:val="{C96580B4-AF44-449B-9080-3C6D88E8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B2"/>
    <w:rPr>
      <w:color w:val="0000FF"/>
      <w:u w:val="single"/>
    </w:rPr>
  </w:style>
  <w:style w:type="character" w:styleId="FollowedHyperlink">
    <w:name w:val="FollowedHyperlink"/>
    <w:basedOn w:val="DefaultParagraphFont"/>
    <w:uiPriority w:val="99"/>
    <w:semiHidden/>
    <w:unhideWhenUsed/>
    <w:rsid w:val="003572B8"/>
    <w:rPr>
      <w:color w:val="954F72" w:themeColor="followedHyperlink"/>
      <w:u w:val="single"/>
    </w:rPr>
  </w:style>
  <w:style w:type="paragraph" w:styleId="NormalWeb">
    <w:name w:val="Normal (Web)"/>
    <w:basedOn w:val="Normal"/>
    <w:uiPriority w:val="99"/>
    <w:semiHidden/>
    <w:unhideWhenUsed/>
    <w:rsid w:val="003572B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F78B8"/>
    <w:rPr>
      <w:color w:val="605E5C"/>
      <w:shd w:val="clear" w:color="auto" w:fill="E1DFDD"/>
    </w:rPr>
  </w:style>
  <w:style w:type="paragraph" w:styleId="Header">
    <w:name w:val="header"/>
    <w:basedOn w:val="Normal"/>
    <w:link w:val="HeaderChar"/>
    <w:uiPriority w:val="99"/>
    <w:unhideWhenUsed/>
    <w:rsid w:val="008F7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599"/>
  </w:style>
  <w:style w:type="paragraph" w:styleId="Footer">
    <w:name w:val="footer"/>
    <w:basedOn w:val="Normal"/>
    <w:link w:val="FooterChar"/>
    <w:uiPriority w:val="99"/>
    <w:unhideWhenUsed/>
    <w:rsid w:val="008F7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51437">
      <w:bodyDiv w:val="1"/>
      <w:marLeft w:val="0"/>
      <w:marRight w:val="0"/>
      <w:marTop w:val="0"/>
      <w:marBottom w:val="0"/>
      <w:divBdr>
        <w:top w:val="none" w:sz="0" w:space="0" w:color="auto"/>
        <w:left w:val="none" w:sz="0" w:space="0" w:color="auto"/>
        <w:bottom w:val="none" w:sz="0" w:space="0" w:color="auto"/>
        <w:right w:val="none" w:sz="0" w:space="0" w:color="auto"/>
      </w:divBdr>
      <w:divsChild>
        <w:div w:id="1539509656">
          <w:marLeft w:val="300"/>
          <w:marRight w:val="0"/>
          <w:marTop w:val="0"/>
          <w:marBottom w:val="300"/>
          <w:divBdr>
            <w:top w:val="none" w:sz="0" w:space="0" w:color="auto"/>
            <w:left w:val="none" w:sz="0" w:space="0" w:color="auto"/>
            <w:bottom w:val="none" w:sz="0" w:space="0" w:color="auto"/>
            <w:right w:val="none" w:sz="0" w:space="0" w:color="auto"/>
          </w:divBdr>
        </w:div>
        <w:div w:id="517281654">
          <w:marLeft w:val="0"/>
          <w:marRight w:val="0"/>
          <w:marTop w:val="0"/>
          <w:marBottom w:val="0"/>
          <w:divBdr>
            <w:top w:val="none" w:sz="0" w:space="0" w:color="auto"/>
            <w:left w:val="none" w:sz="0" w:space="0" w:color="auto"/>
            <w:bottom w:val="none" w:sz="0" w:space="0" w:color="auto"/>
            <w:right w:val="none" w:sz="0" w:space="0" w:color="auto"/>
          </w:divBdr>
        </w:div>
      </w:divsChild>
    </w:div>
    <w:div w:id="1030837833">
      <w:bodyDiv w:val="1"/>
      <w:marLeft w:val="0"/>
      <w:marRight w:val="0"/>
      <w:marTop w:val="0"/>
      <w:marBottom w:val="0"/>
      <w:divBdr>
        <w:top w:val="none" w:sz="0" w:space="0" w:color="auto"/>
        <w:left w:val="none" w:sz="0" w:space="0" w:color="auto"/>
        <w:bottom w:val="none" w:sz="0" w:space="0" w:color="auto"/>
        <w:right w:val="none" w:sz="0" w:space="0" w:color="auto"/>
      </w:divBdr>
    </w:div>
    <w:div w:id="1465077554">
      <w:bodyDiv w:val="1"/>
      <w:marLeft w:val="0"/>
      <w:marRight w:val="0"/>
      <w:marTop w:val="0"/>
      <w:marBottom w:val="0"/>
      <w:divBdr>
        <w:top w:val="none" w:sz="0" w:space="0" w:color="auto"/>
        <w:left w:val="none" w:sz="0" w:space="0" w:color="auto"/>
        <w:bottom w:val="none" w:sz="0" w:space="0" w:color="auto"/>
        <w:right w:val="none" w:sz="0" w:space="0" w:color="auto"/>
      </w:divBdr>
    </w:div>
    <w:div w:id="1696074444">
      <w:bodyDiv w:val="1"/>
      <w:marLeft w:val="0"/>
      <w:marRight w:val="0"/>
      <w:marTop w:val="0"/>
      <w:marBottom w:val="0"/>
      <w:divBdr>
        <w:top w:val="none" w:sz="0" w:space="0" w:color="auto"/>
        <w:left w:val="none" w:sz="0" w:space="0" w:color="auto"/>
        <w:bottom w:val="none" w:sz="0" w:space="0" w:color="auto"/>
        <w:right w:val="none" w:sz="0" w:space="0" w:color="auto"/>
      </w:divBdr>
      <w:divsChild>
        <w:div w:id="352456575">
          <w:marLeft w:val="300"/>
          <w:marRight w:val="0"/>
          <w:marTop w:val="0"/>
          <w:marBottom w:val="300"/>
          <w:divBdr>
            <w:top w:val="none" w:sz="0" w:space="0" w:color="auto"/>
            <w:left w:val="none" w:sz="0" w:space="0" w:color="auto"/>
            <w:bottom w:val="none" w:sz="0" w:space="0" w:color="auto"/>
            <w:right w:val="none" w:sz="0" w:space="0" w:color="auto"/>
          </w:divBdr>
        </w:div>
        <w:div w:id="299919016">
          <w:marLeft w:val="0"/>
          <w:marRight w:val="0"/>
          <w:marTop w:val="0"/>
          <w:marBottom w:val="0"/>
          <w:divBdr>
            <w:top w:val="none" w:sz="0" w:space="0" w:color="auto"/>
            <w:left w:val="none" w:sz="0" w:space="0" w:color="auto"/>
            <w:bottom w:val="none" w:sz="0" w:space="0" w:color="auto"/>
            <w:right w:val="none" w:sz="0" w:space="0" w:color="auto"/>
          </w:divBdr>
        </w:div>
      </w:divsChild>
    </w:div>
    <w:div w:id="20204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history.com/" TargetMode="External"/><Relationship Id="rId3" Type="http://schemas.openxmlformats.org/officeDocument/2006/relationships/webSettings" Target="webSettings.xml"/><Relationship Id="rId7" Type="http://schemas.openxmlformats.org/officeDocument/2006/relationships/hyperlink" Target="https://www.congress.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aconhomeles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sparkle hayes</dc:creator>
  <cp:keywords/>
  <dc:description/>
  <cp:lastModifiedBy>sparkle hayes</cp:lastModifiedBy>
  <cp:revision>5</cp:revision>
  <dcterms:created xsi:type="dcterms:W3CDTF">2021-01-31T21:11:00Z</dcterms:created>
  <dcterms:modified xsi:type="dcterms:W3CDTF">2021-02-01T12:11:00Z</dcterms:modified>
</cp:coreProperties>
</file>