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96"/>
        <w:gridCol w:w="1516"/>
        <w:gridCol w:w="1205"/>
        <w:gridCol w:w="1352"/>
        <w:gridCol w:w="1352"/>
        <w:gridCol w:w="1352"/>
        <w:gridCol w:w="1367"/>
      </w:tblGrid>
      <w:tr w:rsidR="00BC7682" w:rsidRPr="002D4BE3" w:rsidTr="001D7123">
        <w:trPr>
          <w:trHeight w:val="459"/>
        </w:trPr>
        <w:tc>
          <w:tcPr>
            <w:tcW w:w="9940" w:type="dxa"/>
            <w:gridSpan w:val="7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single" w:sz="8" w:space="0" w:color="94B6D2"/>
            </w:tcBorders>
            <w:shd w:val="clear" w:color="auto" w:fill="94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4BE3">
              <w:rPr>
                <w:rFonts w:ascii="Arial" w:hAnsi="Arial" w:cs="Arial"/>
                <w:b/>
                <w:bCs/>
                <w:sz w:val="24"/>
                <w:szCs w:val="24"/>
              </w:rPr>
              <w:t>Projected Income Statement</w:t>
            </w:r>
          </w:p>
        </w:tc>
      </w:tr>
      <w:tr w:rsidR="00BC7682" w:rsidRPr="002D4BE3" w:rsidTr="00BC7682">
        <w:trPr>
          <w:trHeight w:val="447"/>
        </w:trPr>
        <w:tc>
          <w:tcPr>
            <w:tcW w:w="1796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nil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4BE3">
              <w:rPr>
                <w:rFonts w:ascii="Arial" w:hAnsi="Arial" w:cs="Arial"/>
                <w:sz w:val="24"/>
                <w:szCs w:val="24"/>
              </w:rPr>
              <w:t>Base Year</w:t>
            </w:r>
          </w:p>
        </w:tc>
        <w:tc>
          <w:tcPr>
            <w:tcW w:w="1205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BE3">
              <w:rPr>
                <w:rFonts w:ascii="Arial" w:hAnsi="Arial" w:cs="Arial"/>
                <w:sz w:val="24"/>
                <w:szCs w:val="24"/>
              </w:rPr>
              <w:t>Qtr</w:t>
            </w:r>
            <w:proofErr w:type="spellEnd"/>
            <w:r w:rsidRPr="002D4BE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352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BE3">
              <w:rPr>
                <w:rFonts w:ascii="Arial" w:hAnsi="Arial" w:cs="Arial"/>
                <w:sz w:val="24"/>
                <w:szCs w:val="24"/>
              </w:rPr>
              <w:t>Qtr</w:t>
            </w:r>
            <w:proofErr w:type="spellEnd"/>
            <w:r w:rsidRPr="002D4BE3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352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BE3">
              <w:rPr>
                <w:rFonts w:ascii="Arial" w:hAnsi="Arial" w:cs="Arial"/>
                <w:sz w:val="24"/>
                <w:szCs w:val="24"/>
              </w:rPr>
              <w:t>Qtr</w:t>
            </w:r>
            <w:proofErr w:type="spellEnd"/>
            <w:r w:rsidRPr="002D4BE3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1352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BE3">
              <w:rPr>
                <w:rFonts w:ascii="Arial" w:hAnsi="Arial" w:cs="Arial"/>
                <w:sz w:val="24"/>
                <w:szCs w:val="24"/>
              </w:rPr>
              <w:t>Qtr</w:t>
            </w:r>
            <w:proofErr w:type="spellEnd"/>
            <w:r w:rsidRPr="002D4BE3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367" w:type="dxa"/>
            <w:tcBorders>
              <w:top w:val="single" w:sz="8" w:space="0" w:color="94B6D2"/>
              <w:left w:val="nil"/>
              <w:bottom w:val="single" w:sz="8" w:space="0" w:color="94B6D2"/>
              <w:right w:val="single" w:sz="8" w:space="0" w:color="94B6D2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4BE3">
              <w:rPr>
                <w:rFonts w:ascii="Arial" w:hAnsi="Arial" w:cs="Arial"/>
                <w:sz w:val="24"/>
                <w:szCs w:val="24"/>
              </w:rPr>
              <w:t>Full Year</w:t>
            </w:r>
          </w:p>
        </w:tc>
      </w:tr>
      <w:tr w:rsidR="00BC7682" w:rsidRPr="002D4BE3" w:rsidTr="00BC7682">
        <w:trPr>
          <w:trHeight w:val="698"/>
        </w:trPr>
        <w:tc>
          <w:tcPr>
            <w:tcW w:w="1796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4BE3">
              <w:rPr>
                <w:rFonts w:ascii="Arial" w:hAnsi="Arial" w:cs="Arial"/>
                <w:sz w:val="24"/>
                <w:szCs w:val="24"/>
              </w:rPr>
              <w:t>Sales Revenue</w:t>
            </w:r>
          </w:p>
        </w:tc>
        <w:tc>
          <w:tcPr>
            <w:tcW w:w="1516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94B6D2"/>
              <w:left w:val="nil"/>
              <w:bottom w:val="single" w:sz="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682" w:rsidRPr="002D4BE3" w:rsidTr="00BC7682">
        <w:trPr>
          <w:trHeight w:val="447"/>
        </w:trPr>
        <w:tc>
          <w:tcPr>
            <w:tcW w:w="1796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nil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4BE3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ost of Goods</w:t>
            </w:r>
          </w:p>
        </w:tc>
        <w:tc>
          <w:tcPr>
            <w:tcW w:w="1516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94B6D2"/>
              <w:left w:val="nil"/>
              <w:bottom w:val="single" w:sz="8" w:space="0" w:color="94B6D2"/>
              <w:right w:val="single" w:sz="8" w:space="0" w:color="94B6D2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682" w:rsidRPr="002D4BE3" w:rsidTr="00BC7682">
        <w:trPr>
          <w:trHeight w:val="698"/>
        </w:trPr>
        <w:tc>
          <w:tcPr>
            <w:tcW w:w="1796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4BE3">
              <w:rPr>
                <w:rFonts w:ascii="Arial" w:hAnsi="Arial" w:cs="Arial"/>
                <w:sz w:val="24"/>
                <w:szCs w:val="24"/>
              </w:rPr>
              <w:t>Gross Profit</w:t>
            </w:r>
          </w:p>
        </w:tc>
        <w:tc>
          <w:tcPr>
            <w:tcW w:w="1516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94B6D2"/>
              <w:left w:val="nil"/>
              <w:bottom w:val="single" w:sz="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682" w:rsidRPr="002D4BE3" w:rsidTr="00BC7682">
        <w:trPr>
          <w:trHeight w:val="447"/>
        </w:trPr>
        <w:tc>
          <w:tcPr>
            <w:tcW w:w="1796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nil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Sales, General and Administrative Expenses</w:t>
            </w:r>
            <w:bookmarkEnd w:id="0"/>
          </w:p>
        </w:tc>
        <w:tc>
          <w:tcPr>
            <w:tcW w:w="1516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94B6D2"/>
              <w:left w:val="nil"/>
              <w:bottom w:val="single" w:sz="8" w:space="0" w:color="94B6D2"/>
              <w:right w:val="single" w:sz="8" w:space="0" w:color="94B6D2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682" w:rsidRPr="002D4BE3" w:rsidTr="00BC7682">
        <w:trPr>
          <w:trHeight w:val="992"/>
        </w:trPr>
        <w:tc>
          <w:tcPr>
            <w:tcW w:w="1796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4BE3">
              <w:rPr>
                <w:rFonts w:ascii="Arial" w:hAnsi="Arial" w:cs="Arial"/>
                <w:sz w:val="24"/>
                <w:szCs w:val="24"/>
              </w:rPr>
              <w:t>New marketing expenses</w:t>
            </w:r>
            <w:r>
              <w:rPr>
                <w:rFonts w:ascii="Arial" w:hAnsi="Arial" w:cs="Arial"/>
                <w:sz w:val="24"/>
                <w:szCs w:val="24"/>
              </w:rPr>
              <w:t xml:space="preserve"> (not already included in SG&amp;A, above)</w:t>
            </w:r>
          </w:p>
        </w:tc>
        <w:tc>
          <w:tcPr>
            <w:tcW w:w="1516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94B6D2"/>
              <w:left w:val="nil"/>
              <w:bottom w:val="single" w:sz="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682" w:rsidRPr="002D4BE3" w:rsidTr="00BC7682">
        <w:trPr>
          <w:trHeight w:val="698"/>
        </w:trPr>
        <w:tc>
          <w:tcPr>
            <w:tcW w:w="1796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nil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4BE3">
              <w:rPr>
                <w:rFonts w:ascii="Arial" w:hAnsi="Arial" w:cs="Arial"/>
                <w:sz w:val="24"/>
                <w:szCs w:val="24"/>
              </w:rPr>
              <w:t>New R&amp;D expense</w:t>
            </w:r>
            <w:r>
              <w:rPr>
                <w:rFonts w:ascii="Arial" w:hAnsi="Arial" w:cs="Arial"/>
                <w:sz w:val="24"/>
                <w:szCs w:val="24"/>
              </w:rPr>
              <w:t xml:space="preserve"> (not already included in SG&amp;A, above)</w:t>
            </w:r>
          </w:p>
        </w:tc>
        <w:tc>
          <w:tcPr>
            <w:tcW w:w="1516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94B6D2"/>
              <w:left w:val="nil"/>
              <w:bottom w:val="single" w:sz="8" w:space="0" w:color="94B6D2"/>
              <w:right w:val="single" w:sz="8" w:space="0" w:color="94B6D2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682" w:rsidRPr="002D4BE3" w:rsidTr="00BC7682">
        <w:trPr>
          <w:trHeight w:val="992"/>
        </w:trPr>
        <w:tc>
          <w:tcPr>
            <w:tcW w:w="1796" w:type="dxa"/>
            <w:tcBorders>
              <w:top w:val="single" w:sz="8" w:space="0" w:color="94B6D2"/>
              <w:left w:val="single" w:sz="8" w:space="0" w:color="94B6D2"/>
              <w:bottom w:val="single" w:sz="8" w:space="0" w:color="94B6D2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4BE3">
              <w:rPr>
                <w:rFonts w:ascii="Arial" w:hAnsi="Arial" w:cs="Arial"/>
                <w:sz w:val="24"/>
                <w:szCs w:val="24"/>
              </w:rPr>
              <w:t>Operating</w:t>
            </w:r>
          </w:p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D4BE3">
              <w:rPr>
                <w:rFonts w:ascii="Arial" w:hAnsi="Arial" w:cs="Arial"/>
                <w:sz w:val="24"/>
                <w:szCs w:val="24"/>
              </w:rPr>
              <w:t>Income</w:t>
            </w:r>
          </w:p>
        </w:tc>
        <w:tc>
          <w:tcPr>
            <w:tcW w:w="1516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94B6D2"/>
              <w:left w:val="nil"/>
              <w:bottom w:val="single" w:sz="8" w:space="0" w:color="94B6D2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94B6D2"/>
              <w:left w:val="nil"/>
              <w:bottom w:val="single" w:sz="8" w:space="0" w:color="94B6D2"/>
              <w:right w:val="single" w:sz="8" w:space="0" w:color="94B6D2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7682" w:rsidRPr="002D4BE3" w:rsidRDefault="00BC7682" w:rsidP="001D71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7682" w:rsidRDefault="00BC7682" w:rsidP="00BC7682">
      <w:pPr>
        <w:spacing w:line="240" w:lineRule="auto"/>
        <w:rPr>
          <w:rFonts w:ascii="Arial" w:eastAsia="MS Mincho" w:hAnsi="Arial" w:cs="Arial"/>
          <w:sz w:val="24"/>
          <w:szCs w:val="24"/>
        </w:rPr>
      </w:pPr>
    </w:p>
    <w:p w:rsidR="00BC7682" w:rsidRPr="00BC7682" w:rsidRDefault="00BC7682" w:rsidP="00BC7682">
      <w:pPr>
        <w:spacing w:line="240" w:lineRule="auto"/>
        <w:rPr>
          <w:rFonts w:ascii="Arial" w:eastAsia="MS Mincho" w:hAnsi="Arial" w:cs="Arial"/>
          <w:sz w:val="24"/>
          <w:szCs w:val="24"/>
        </w:rPr>
      </w:pPr>
      <w:r w:rsidRPr="00BC7682">
        <w:rPr>
          <w:rFonts w:ascii="Arial" w:eastAsia="MS Mincho" w:hAnsi="Arial" w:cs="Arial"/>
          <w:sz w:val="24"/>
          <w:szCs w:val="24"/>
        </w:rPr>
        <w:t>Operating income = Sales revenue – cost of goods – sales/general/administrative expenses</w:t>
      </w:r>
    </w:p>
    <w:p w:rsidR="000C56E1" w:rsidRDefault="000C56E1"/>
    <w:sectPr w:rsidR="000C5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82"/>
    <w:rsid w:val="00034B9F"/>
    <w:rsid w:val="000C56E1"/>
    <w:rsid w:val="0016047E"/>
    <w:rsid w:val="00B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9E9AA-3D16-45AF-A3D2-DE4A284B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682"/>
    <w:rPr>
      <w:rFonts w:ascii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Scheib, Stephen C. (OL &amp; Ed Tech)</dc:creator>
  <cp:keywords/>
  <dc:description/>
  <cp:lastModifiedBy>Kennedy Minai</cp:lastModifiedBy>
  <cp:revision>2</cp:revision>
  <dcterms:created xsi:type="dcterms:W3CDTF">2017-02-26T06:31:00Z</dcterms:created>
  <dcterms:modified xsi:type="dcterms:W3CDTF">2017-02-26T06:31:00Z</dcterms:modified>
</cp:coreProperties>
</file>