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34DA4D" w14:textId="77777777" w:rsidR="00071940" w:rsidRPr="00071940" w:rsidRDefault="00071940" w:rsidP="00071940">
      <w:pPr>
        <w:pStyle w:val="NoSpacing"/>
        <w:spacing w:line="360" w:lineRule="auto"/>
        <w:rPr>
          <w:rFonts w:cstheme="minorHAnsi"/>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71940">
        <w:rPr>
          <w:rFonts w:cstheme="minorHAnsi"/>
          <w:b/>
          <w:bCs/>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6. Compare and contrast theories of gender development in children. Your response should include possible limitations of each theory discussed (2.3).</w:t>
      </w:r>
    </w:p>
    <w:p w14:paraId="5AA7A1C2" w14:textId="77777777" w:rsidR="00071940" w:rsidRPr="000A3ECE" w:rsidRDefault="00071940" w:rsidP="00071940">
      <w:pPr>
        <w:pStyle w:val="NoSpacing"/>
        <w:spacing w:line="360" w:lineRule="auto"/>
        <w:rPr>
          <w:rFonts w:cstheme="minorHAnsi"/>
          <w:color w:val="000000" w:themeColor="text1"/>
          <w:sz w:val="24"/>
          <w:szCs w:val="24"/>
        </w:rPr>
      </w:pPr>
    </w:p>
    <w:p w14:paraId="6BF582A4"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 xml:space="preserve">Psychoanalytical, Social Learning and Cognitive Theory are an examples psychological explanation of gender socialisation. </w:t>
      </w:r>
    </w:p>
    <w:p w14:paraId="44A1AE63" w14:textId="77777777" w:rsidR="00071940" w:rsidRPr="000A3ECE" w:rsidRDefault="00071940" w:rsidP="00071940">
      <w:pPr>
        <w:pStyle w:val="NoSpacing"/>
        <w:spacing w:line="360" w:lineRule="auto"/>
        <w:rPr>
          <w:rFonts w:cstheme="minorHAnsi"/>
          <w:color w:val="000000" w:themeColor="text1"/>
          <w:sz w:val="24"/>
          <w:szCs w:val="24"/>
        </w:rPr>
      </w:pPr>
    </w:p>
    <w:p w14:paraId="09ABD985" w14:textId="645046C6"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 xml:space="preserve">Psychodynamic Theory was introduced by Sigmund Freud and 5 Psychosexual stages of development was established. Those stages include oral, anal, phallic, latency and genital.  Freud alleged that person’s adult personality is determined how conflicts between early sources of pleasure are resolved </w:t>
      </w:r>
    </w:p>
    <w:p w14:paraId="20C476B8"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In Freud’s Phallic Stage (Boys = 3-5, Girls = 3-6) determined development of unconscious needs for the opposite sex parent, and jealousy for same sex parent. This “conflict” is overcome by child acting as the same sex parent knows as identification</w:t>
      </w:r>
    </w:p>
    <w:p w14:paraId="2C0B3B8C" w14:textId="76B7F9E9"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 xml:space="preserve">towards the same sex parent </w:t>
      </w:r>
    </w:p>
    <w:p w14:paraId="45F8475F" w14:textId="77777777" w:rsidR="00071940" w:rsidRPr="000A3ECE" w:rsidRDefault="00071940" w:rsidP="00071940">
      <w:pPr>
        <w:pStyle w:val="NoSpacing"/>
        <w:spacing w:line="360" w:lineRule="auto"/>
        <w:rPr>
          <w:rFonts w:cstheme="minorHAnsi"/>
          <w:color w:val="000000" w:themeColor="text1"/>
          <w:sz w:val="24"/>
          <w:szCs w:val="24"/>
        </w:rPr>
      </w:pPr>
    </w:p>
    <w:p w14:paraId="60D6D55C"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According to Freud, the Electra Complex is experienced by girls and the Oedipus Complex is experienced by boys.</w:t>
      </w:r>
    </w:p>
    <w:p w14:paraId="2CC42010" w14:textId="77777777" w:rsidR="00071940" w:rsidRPr="000A3ECE" w:rsidRDefault="00071940" w:rsidP="00071940">
      <w:pPr>
        <w:pStyle w:val="NoSpacing"/>
        <w:spacing w:line="360" w:lineRule="auto"/>
        <w:rPr>
          <w:rFonts w:cstheme="minorHAnsi"/>
          <w:color w:val="000000" w:themeColor="text1"/>
          <w:sz w:val="24"/>
          <w:szCs w:val="24"/>
        </w:rPr>
      </w:pPr>
    </w:p>
    <w:p w14:paraId="7B0EC007"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The Electra Complex take place in girls aged between 3 and 6, becoming unconsciously sexually attached to her father and increasingly hostile towards the mother. Conflict can occur between the girl and the mother as the child wants to replace the mother. Penis Envy is experienced by girls after realising they do not have a penis and the mother the mother as she is blamed for the ‘castrated state’.</w:t>
      </w:r>
    </w:p>
    <w:p w14:paraId="7FE9D1E9" w14:textId="0AFB53A3"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 xml:space="preserve">The ego realises that if this is not resolved, there is a risk of the girl losing the mothers love forever but the girl will need her mother to support her when she will have her own children </w:t>
      </w:r>
    </w:p>
    <w:p w14:paraId="4826E423" w14:textId="77777777" w:rsidR="00071940" w:rsidRPr="000A3ECE" w:rsidRDefault="00071940" w:rsidP="00071940">
      <w:pPr>
        <w:pStyle w:val="NoSpacing"/>
        <w:spacing w:line="360" w:lineRule="auto"/>
        <w:rPr>
          <w:rFonts w:cstheme="minorHAnsi"/>
          <w:color w:val="000000" w:themeColor="text1"/>
          <w:sz w:val="24"/>
          <w:szCs w:val="24"/>
        </w:rPr>
      </w:pPr>
    </w:p>
    <w:p w14:paraId="170ADC5F" w14:textId="66C44E95"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 xml:space="preserve">The Oedipus Complex appears when boys develop sexual desires for the mother and become jealous of the father as they wish to take his place. Boys experience an intense castration anxiety as they fear their father will find out. The realistic ego understands that the father is too strong and thus the boy’s desires for the mother will never be satisfied. To combat this, boys use a defence mechanism known as identification, adopting a masculine gender role. </w:t>
      </w:r>
      <w:r w:rsidRPr="000A3ECE">
        <w:rPr>
          <w:rFonts w:cstheme="minorHAnsi"/>
          <w:color w:val="000000" w:themeColor="text1"/>
          <w:sz w:val="24"/>
          <w:szCs w:val="24"/>
        </w:rPr>
        <w:lastRenderedPageBreak/>
        <w:t xml:space="preserve">During this conflict, the superego is also formed; Freud believed the child’s new sense of morality retains the essential character of the father’s idealistic standards </w:t>
      </w:r>
    </w:p>
    <w:p w14:paraId="16B4F132" w14:textId="77777777" w:rsidR="00071940" w:rsidRPr="000A3ECE" w:rsidRDefault="00071940" w:rsidP="00071940">
      <w:pPr>
        <w:pStyle w:val="NoSpacing"/>
        <w:spacing w:line="360" w:lineRule="auto"/>
        <w:rPr>
          <w:rFonts w:cstheme="minorHAnsi"/>
          <w:color w:val="000000" w:themeColor="text1"/>
          <w:sz w:val="24"/>
          <w:szCs w:val="24"/>
        </w:rPr>
      </w:pPr>
    </w:p>
    <w:p w14:paraId="3695C5FC" w14:textId="4254BCB6"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In 1909, Freud conducted a study into “Little Hans’” based on a boy who had a fear of horses. The reports were carried out from when Hans’ was 3 years old and continued until Hans was 5, however Freud had only met Hans once. Freud believed this was evidence of Hans’ experience of the Oedipus complex. The black around the mouth represented the father’s beard and dark eyes represented the father’s glasses. Fear of being bitten represented castration anxiety and fear of the horse falling down represented the id’s true desire to see his father dead</w:t>
      </w:r>
    </w:p>
    <w:p w14:paraId="2AD91E94" w14:textId="77777777" w:rsidR="00071940" w:rsidRPr="000A3ECE" w:rsidRDefault="00071940" w:rsidP="00071940">
      <w:pPr>
        <w:pStyle w:val="HTMLPreformatted"/>
        <w:spacing w:after="0" w:line="360" w:lineRule="auto"/>
        <w:rPr>
          <w:rFonts w:asciiTheme="minorHAnsi" w:hAnsiTheme="minorHAnsi" w:cstheme="minorHAnsi"/>
          <w:color w:val="000000" w:themeColor="text1"/>
          <w:sz w:val="24"/>
          <w:szCs w:val="24"/>
          <w:lang w:val="en"/>
        </w:rPr>
      </w:pPr>
    </w:p>
    <w:p w14:paraId="6676D8EC" w14:textId="47D87327" w:rsidR="00071940" w:rsidRPr="000A3ECE" w:rsidRDefault="00071940" w:rsidP="00071940">
      <w:pPr>
        <w:pStyle w:val="HTMLPreformatted"/>
        <w:spacing w:after="0" w:line="360" w:lineRule="auto"/>
        <w:rPr>
          <w:rFonts w:asciiTheme="minorHAnsi" w:hAnsiTheme="minorHAnsi" w:cstheme="minorHAnsi"/>
          <w:color w:val="000000" w:themeColor="text1"/>
          <w:sz w:val="24"/>
          <w:szCs w:val="24"/>
        </w:rPr>
      </w:pPr>
      <w:r w:rsidRPr="000A3ECE">
        <w:rPr>
          <w:rFonts w:asciiTheme="minorHAnsi" w:hAnsiTheme="minorHAnsi" w:cstheme="minorHAnsi"/>
          <w:color w:val="000000" w:themeColor="text1"/>
          <w:sz w:val="24"/>
          <w:szCs w:val="24"/>
          <w:lang w:val="en"/>
        </w:rPr>
        <w:t xml:space="preserve">Freud was the first who emphasised that childhood relationships and experiences influence further behavior and adult life of a person. Before Freud, no one noticed these dependencies, but many psychologists, and not only, studied it in the researches </w:t>
      </w:r>
    </w:p>
    <w:p w14:paraId="786CC8AC" w14:textId="77777777" w:rsidR="00071940" w:rsidRPr="000A3ECE" w:rsidRDefault="00071940" w:rsidP="00071940">
      <w:pPr>
        <w:pStyle w:val="NoSpacing"/>
        <w:spacing w:line="360" w:lineRule="auto"/>
        <w:rPr>
          <w:rFonts w:cstheme="minorHAnsi"/>
          <w:color w:val="000000" w:themeColor="text1"/>
          <w:sz w:val="24"/>
          <w:szCs w:val="24"/>
        </w:rPr>
      </w:pPr>
    </w:p>
    <w:p w14:paraId="005B60C1" w14:textId="7EC1301E"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Freud’s studies were conducted long time ago it has been criticised of focusing on sexual issues too much. The data collected after meeting the boy once cannot be relay on as it won’t be realistic, actuate interpretation of the child’s behaviour who might only had an unpleasant experience with horses</w:t>
      </w:r>
      <w:r>
        <w:rPr>
          <w:rFonts w:cstheme="minorHAnsi"/>
          <w:color w:val="000000" w:themeColor="text1"/>
          <w:sz w:val="24"/>
          <w:szCs w:val="24"/>
          <w:shd w:val="clear" w:color="auto" w:fill="FFFFFF"/>
        </w:rPr>
        <w:t xml:space="preserve">. </w:t>
      </w:r>
      <w:r w:rsidRPr="000A3ECE">
        <w:rPr>
          <w:rFonts w:cstheme="minorHAnsi"/>
          <w:color w:val="000000" w:themeColor="text1"/>
          <w:sz w:val="24"/>
          <w:szCs w:val="24"/>
        </w:rPr>
        <w:t xml:space="preserve">The study cannot test people feelings and there is </w:t>
      </w:r>
      <w:r w:rsidRPr="000A3ECE">
        <w:rPr>
          <w:rFonts w:cstheme="minorHAnsi"/>
          <w:color w:val="000000" w:themeColor="text1"/>
          <w:sz w:val="24"/>
          <w:szCs w:val="24"/>
          <w:shd w:val="clear" w:color="auto" w:fill="FFFFFF"/>
        </w:rPr>
        <w:t xml:space="preserve">no definitive evidence for the unconscious mind and it </w:t>
      </w:r>
      <w:r w:rsidRPr="000A3ECE">
        <w:rPr>
          <w:rFonts w:cstheme="minorHAnsi"/>
          <w:color w:val="000000" w:themeColor="text1"/>
          <w:sz w:val="24"/>
          <w:szCs w:val="24"/>
        </w:rPr>
        <w:t xml:space="preserve">makes unscientific theory. It is deterministic approach as taking away a person’s freedom to take control on their life. It blames adult life mistakes for unpleased childhood experienced. The psychodynamic theory infers that a child must grow up in a conventional nuclear family, with mother and father figures, in order to develop a ‘normal’ gender identity which has been proven to not be true </w:t>
      </w:r>
    </w:p>
    <w:p w14:paraId="4C9B7FBD" w14:textId="77777777" w:rsidR="00071940" w:rsidRPr="000A3ECE" w:rsidRDefault="00071940" w:rsidP="00071940">
      <w:pPr>
        <w:pStyle w:val="NoSpacing"/>
        <w:spacing w:line="360" w:lineRule="auto"/>
        <w:rPr>
          <w:rFonts w:cstheme="minorHAnsi"/>
          <w:color w:val="000000" w:themeColor="text1"/>
          <w:sz w:val="24"/>
          <w:szCs w:val="24"/>
        </w:rPr>
      </w:pPr>
    </w:p>
    <w:p w14:paraId="04805546" w14:textId="77777777" w:rsidR="00071940" w:rsidRPr="000A3ECE" w:rsidRDefault="00071940" w:rsidP="00071940">
      <w:pPr>
        <w:pStyle w:val="NoSpacing"/>
        <w:spacing w:line="360" w:lineRule="auto"/>
        <w:rPr>
          <w:rFonts w:cstheme="minorHAnsi"/>
          <w:color w:val="000000" w:themeColor="text1"/>
          <w:sz w:val="24"/>
          <w:szCs w:val="24"/>
        </w:rPr>
      </w:pPr>
    </w:p>
    <w:p w14:paraId="4A54179A" w14:textId="77777777" w:rsidR="00071940" w:rsidRPr="000A3ECE" w:rsidRDefault="00071940" w:rsidP="00071940">
      <w:pPr>
        <w:pStyle w:val="NoSpacing"/>
        <w:spacing w:line="360" w:lineRule="auto"/>
        <w:rPr>
          <w:rFonts w:cstheme="minorHAnsi"/>
          <w:color w:val="000000" w:themeColor="text1"/>
          <w:sz w:val="24"/>
          <w:szCs w:val="24"/>
        </w:rPr>
      </w:pPr>
    </w:p>
    <w:p w14:paraId="171A3921" w14:textId="77777777" w:rsidR="00071940" w:rsidRPr="000A3ECE" w:rsidRDefault="00071940" w:rsidP="00071940">
      <w:pPr>
        <w:pStyle w:val="NoSpacing"/>
        <w:spacing w:line="360" w:lineRule="auto"/>
        <w:rPr>
          <w:rFonts w:cstheme="minorHAnsi"/>
          <w:color w:val="000000" w:themeColor="text1"/>
          <w:sz w:val="24"/>
          <w:szCs w:val="24"/>
        </w:rPr>
      </w:pPr>
    </w:p>
    <w:p w14:paraId="640E53B8" w14:textId="545FEE4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shd w:val="clear" w:color="auto" w:fill="FFFFFF"/>
        </w:rPr>
        <w:t xml:space="preserve">During the 1960s, Albert Bandura conducted a series of experiments on observational learning, collectively known as the Bobo doll experiments represented </w:t>
      </w:r>
      <w:r w:rsidRPr="000A3ECE">
        <w:rPr>
          <w:rFonts w:cstheme="minorHAnsi"/>
          <w:color w:val="000000" w:themeColor="text1"/>
          <w:sz w:val="24"/>
          <w:szCs w:val="24"/>
        </w:rPr>
        <w:t xml:space="preserve">Social Learning Theory. The gender identity is learnt from the environment by observational learning. The children pay attention to other as a model and encode behaviour which is then imitated. In </w:t>
      </w:r>
      <w:r w:rsidRPr="000A3ECE">
        <w:rPr>
          <w:rFonts w:cstheme="minorHAnsi"/>
          <w:color w:val="000000" w:themeColor="text1"/>
          <w:sz w:val="24"/>
          <w:szCs w:val="24"/>
        </w:rPr>
        <w:lastRenderedPageBreak/>
        <w:t xml:space="preserve">conclusion, children will avoid imitating behaviour that consequences in punishment – vicarious reinforcement </w:t>
      </w:r>
    </w:p>
    <w:p w14:paraId="14AEA48B" w14:textId="77777777" w:rsidR="00071940" w:rsidRPr="000A3ECE" w:rsidRDefault="00071940" w:rsidP="00071940">
      <w:pPr>
        <w:pStyle w:val="NoSpacing"/>
        <w:spacing w:line="360" w:lineRule="auto"/>
        <w:rPr>
          <w:rFonts w:cstheme="minorHAnsi"/>
          <w:color w:val="000000" w:themeColor="text1"/>
          <w:sz w:val="24"/>
          <w:szCs w:val="24"/>
        </w:rPr>
      </w:pPr>
    </w:p>
    <w:p w14:paraId="0AEB3527" w14:textId="7F44EB89"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 xml:space="preserve">Fagot (1978) observed children around age 2 play at home with parents, and recorded the reinforcements (e.g., praise) and punishment (e.g., telling off). Found that boys and girls were reinforced and punished for different behaviours. Demonstrating that boys and girls are reinforced for gender appropriate behaviour </w:t>
      </w:r>
    </w:p>
    <w:p w14:paraId="7C62C5AC"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 xml:space="preserve">There is a wide range of research available regarding the influence of social learning theory on gender development. However, social learning theory has difficulty in explaining how children’s understanding of gender can change over time. </w:t>
      </w:r>
    </w:p>
    <w:p w14:paraId="744653A3" w14:textId="77777777" w:rsidR="00071940" w:rsidRPr="000A3ECE" w:rsidRDefault="00071940" w:rsidP="00071940">
      <w:pPr>
        <w:pStyle w:val="NoSpacing"/>
        <w:spacing w:line="360" w:lineRule="auto"/>
        <w:rPr>
          <w:rFonts w:cstheme="minorHAnsi"/>
          <w:color w:val="000000" w:themeColor="text1"/>
          <w:sz w:val="24"/>
          <w:szCs w:val="24"/>
        </w:rPr>
      </w:pPr>
    </w:p>
    <w:p w14:paraId="490393AB" w14:textId="120CED7E"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 xml:space="preserve">Cognitive Theory emphasise the role of thinking processes when explaining how gender identity and roles develop. Assumes that changes in gender role behaviour reflects changes in how children understand and think about gender, which reflects how information about gender is gathered and causes developmental changes in the child’s brain to allow information to be processed more sophisticatedly </w:t>
      </w:r>
    </w:p>
    <w:p w14:paraId="2944DFEA" w14:textId="77777777" w:rsidR="00071940" w:rsidRPr="000A3ECE" w:rsidRDefault="00071940" w:rsidP="00071940">
      <w:pPr>
        <w:pStyle w:val="NoSpacing"/>
        <w:spacing w:line="360" w:lineRule="auto"/>
        <w:rPr>
          <w:rFonts w:cstheme="minorHAnsi"/>
          <w:color w:val="000000" w:themeColor="text1"/>
          <w:sz w:val="24"/>
          <w:szCs w:val="24"/>
        </w:rPr>
      </w:pPr>
    </w:p>
    <w:p w14:paraId="524ED0D9"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Kohlberg (1966) proposed that children’s understanding of gender moves forward in 3 stages and becomes more complex.</w:t>
      </w:r>
    </w:p>
    <w:p w14:paraId="34AF018E"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Gender Identity (2-3) where children gain recognition that they are either a boy or girl however they have no understanding that this is fixed</w:t>
      </w:r>
    </w:p>
    <w:p w14:paraId="38DB6D91"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Gender Stability (4-5) when child begins to recognise gender is fixed however are still reliant on superficial signs (type of clothes, hair length)</w:t>
      </w:r>
    </w:p>
    <w:p w14:paraId="55072A5E" w14:textId="14FFC508" w:rsidR="00071940" w:rsidRPr="000A3ECE" w:rsidRDefault="00071940" w:rsidP="00071940">
      <w:pPr>
        <w:pStyle w:val="NoSpacing"/>
        <w:spacing w:line="360" w:lineRule="auto"/>
        <w:rPr>
          <w:rFonts w:cstheme="minorHAnsi"/>
          <w:color w:val="000000"/>
          <w:sz w:val="24"/>
          <w:szCs w:val="24"/>
          <w:shd w:val="clear" w:color="auto" w:fill="FFFFFF"/>
        </w:rPr>
      </w:pPr>
      <w:r w:rsidRPr="000A3ECE">
        <w:rPr>
          <w:rFonts w:cstheme="minorHAnsi"/>
          <w:color w:val="000000" w:themeColor="text1"/>
          <w:sz w:val="24"/>
          <w:szCs w:val="24"/>
        </w:rPr>
        <w:t xml:space="preserve">Gender Constancy (6-7) The child gains understanding that gender stays consistent regardless of appearance </w:t>
      </w:r>
    </w:p>
    <w:p w14:paraId="0EF1380F" w14:textId="77777777" w:rsidR="00071940" w:rsidRPr="000A3ECE" w:rsidRDefault="00071940" w:rsidP="00071940">
      <w:pPr>
        <w:pStyle w:val="NoSpacing"/>
        <w:spacing w:line="360" w:lineRule="auto"/>
        <w:rPr>
          <w:rFonts w:cstheme="minorHAnsi"/>
          <w:color w:val="000000" w:themeColor="text1"/>
          <w:sz w:val="24"/>
          <w:szCs w:val="24"/>
        </w:rPr>
      </w:pPr>
    </w:p>
    <w:p w14:paraId="57005E1B" w14:textId="3336779C"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 xml:space="preserve">Kohlberg’s (1966) theory suggests gender development is primarily driven by maturation. An alternative view however, gender schema theory suggesting children play an active role in their own gender development form an earlier age. A schema is a cognitive structure used to organise information about particular objects, people, or situations. Described as rigid in younger children, however become more flexible as the child ages </w:t>
      </w:r>
    </w:p>
    <w:p w14:paraId="442716AA" w14:textId="77777777" w:rsidR="00071940" w:rsidRPr="000A3ECE" w:rsidRDefault="00071940" w:rsidP="00071940">
      <w:pPr>
        <w:pStyle w:val="NoSpacing"/>
        <w:spacing w:line="360" w:lineRule="auto"/>
        <w:rPr>
          <w:rFonts w:cstheme="minorHAnsi"/>
          <w:color w:val="000000" w:themeColor="text1"/>
          <w:sz w:val="24"/>
          <w:szCs w:val="24"/>
        </w:rPr>
      </w:pPr>
    </w:p>
    <w:p w14:paraId="2A9D3DF8"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lastRenderedPageBreak/>
        <w:t xml:space="preserve">Cognitive psychologists need to access children's thinking regarding behaviour – much research had interviews. </w:t>
      </w:r>
      <w:proofErr w:type="spellStart"/>
      <w:r w:rsidRPr="000A3ECE">
        <w:rPr>
          <w:rFonts w:cstheme="minorHAnsi"/>
          <w:color w:val="000000" w:themeColor="text1"/>
          <w:sz w:val="24"/>
          <w:szCs w:val="24"/>
        </w:rPr>
        <w:t>Slaby</w:t>
      </w:r>
      <w:proofErr w:type="spellEnd"/>
      <w:r w:rsidRPr="000A3ECE">
        <w:rPr>
          <w:rFonts w:cstheme="minorHAnsi"/>
          <w:color w:val="000000" w:themeColor="text1"/>
          <w:sz w:val="24"/>
          <w:szCs w:val="24"/>
        </w:rPr>
        <w:t xml:space="preserve"> and Frey (1975) used a gender concept interview involving asking children questions about their own and others gender. Found that children fell into three distinct groups which reflected stages of gender development described by Kohlberg.</w:t>
      </w:r>
    </w:p>
    <w:p w14:paraId="6D5F0E23" w14:textId="77777777" w:rsidR="00071940" w:rsidRPr="000A3ECE" w:rsidRDefault="00071940" w:rsidP="00071940">
      <w:pPr>
        <w:pStyle w:val="NoSpacing"/>
        <w:spacing w:line="360" w:lineRule="auto"/>
        <w:rPr>
          <w:rFonts w:cstheme="minorHAnsi"/>
          <w:color w:val="000000" w:themeColor="text1"/>
          <w:sz w:val="24"/>
          <w:szCs w:val="24"/>
        </w:rPr>
      </w:pPr>
    </w:p>
    <w:p w14:paraId="72AE33A5"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Boston and Levy (1991) compared girl’s and boy’s ability to assemble sequences of pictures in the correct order – consisting of typical ‘male’ and ‘female’. Found that children were better at sequencing the activities that corresponded stereotypically to their own gender</w:t>
      </w:r>
    </w:p>
    <w:p w14:paraId="2000468A"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Suggesting that they had a more developed understanding when the activity had relevancy to them – consistent to gender schema theory</w:t>
      </w:r>
    </w:p>
    <w:p w14:paraId="459EF0E0" w14:textId="77777777" w:rsidR="00071940" w:rsidRPr="000A3ECE" w:rsidRDefault="00071940" w:rsidP="00071940">
      <w:pPr>
        <w:pStyle w:val="NoSpacing"/>
        <w:spacing w:line="360" w:lineRule="auto"/>
        <w:rPr>
          <w:rFonts w:cstheme="minorHAnsi"/>
          <w:color w:val="000000" w:themeColor="text1"/>
          <w:sz w:val="24"/>
          <w:szCs w:val="24"/>
        </w:rPr>
      </w:pPr>
    </w:p>
    <w:p w14:paraId="7D8BABEB"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Do all children develop gender flexibility?</w:t>
      </w:r>
    </w:p>
    <w:p w14:paraId="724F61CF" w14:textId="77777777" w:rsidR="00071940" w:rsidRPr="000A3ECE" w:rsidRDefault="00071940" w:rsidP="00071940">
      <w:pPr>
        <w:pStyle w:val="NoSpacing"/>
        <w:numPr>
          <w:ilvl w:val="0"/>
          <w:numId w:val="1"/>
        </w:numPr>
        <w:spacing w:line="360" w:lineRule="auto"/>
        <w:rPr>
          <w:rFonts w:cstheme="minorHAnsi"/>
          <w:color w:val="000000" w:themeColor="text1"/>
          <w:sz w:val="24"/>
          <w:szCs w:val="24"/>
        </w:rPr>
      </w:pPr>
      <w:r w:rsidRPr="000A3ECE">
        <w:rPr>
          <w:rFonts w:cstheme="minorHAnsi"/>
          <w:color w:val="000000" w:themeColor="text1"/>
          <w:sz w:val="24"/>
          <w:szCs w:val="24"/>
        </w:rPr>
        <w:t>Levy and Carter (1989) investigated the influence of several cognitive components of children’s gender-role development on their attributions of gender-role stereotypes.</w:t>
      </w:r>
    </w:p>
    <w:p w14:paraId="6A6843BF" w14:textId="77777777" w:rsidR="00071940" w:rsidRPr="000A3ECE" w:rsidRDefault="00071940" w:rsidP="00071940">
      <w:pPr>
        <w:pStyle w:val="NoSpacing"/>
        <w:numPr>
          <w:ilvl w:val="0"/>
          <w:numId w:val="1"/>
        </w:numPr>
        <w:spacing w:line="360" w:lineRule="auto"/>
        <w:rPr>
          <w:rFonts w:cstheme="minorHAnsi"/>
          <w:color w:val="000000" w:themeColor="text1"/>
          <w:sz w:val="24"/>
          <w:szCs w:val="24"/>
        </w:rPr>
      </w:pPr>
      <w:r w:rsidRPr="000A3ECE">
        <w:rPr>
          <w:rFonts w:cstheme="minorHAnsi"/>
          <w:color w:val="000000" w:themeColor="text1"/>
          <w:sz w:val="24"/>
          <w:szCs w:val="24"/>
        </w:rPr>
        <w:t>2-part interview that assessed degree of gender schematization and a task assessing attributions of gender-role stereotypes to male and female figures</w:t>
      </w:r>
    </w:p>
    <w:p w14:paraId="3CFBF8D6"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Findings</w:t>
      </w:r>
    </w:p>
    <w:p w14:paraId="29860CA6" w14:textId="77777777" w:rsidR="00071940" w:rsidRPr="000A3ECE" w:rsidRDefault="00071940" w:rsidP="00071940">
      <w:pPr>
        <w:pStyle w:val="NoSpacing"/>
        <w:numPr>
          <w:ilvl w:val="0"/>
          <w:numId w:val="2"/>
        </w:numPr>
        <w:spacing w:line="360" w:lineRule="auto"/>
        <w:rPr>
          <w:rFonts w:cstheme="minorHAnsi"/>
          <w:color w:val="000000" w:themeColor="text1"/>
          <w:sz w:val="24"/>
          <w:szCs w:val="24"/>
        </w:rPr>
      </w:pPr>
      <w:r w:rsidRPr="000A3ECE">
        <w:rPr>
          <w:rFonts w:cstheme="minorHAnsi"/>
          <w:color w:val="000000" w:themeColor="text1"/>
          <w:sz w:val="24"/>
          <w:szCs w:val="24"/>
        </w:rPr>
        <w:t>The results of the study indicated that children’s gender schematization and other cognitive gender schema factors were associated with the children's accuracy in attributing gender-role stereotypes to both males and females.</w:t>
      </w:r>
    </w:p>
    <w:p w14:paraId="16A00D28" w14:textId="77777777" w:rsidR="00071940" w:rsidRPr="000A3ECE" w:rsidRDefault="00071940" w:rsidP="00071940">
      <w:pPr>
        <w:pStyle w:val="NoSpacing"/>
        <w:spacing w:line="360" w:lineRule="auto"/>
        <w:rPr>
          <w:rFonts w:cstheme="minorHAnsi"/>
          <w:color w:val="000000" w:themeColor="text1"/>
          <w:sz w:val="24"/>
          <w:szCs w:val="24"/>
        </w:rPr>
      </w:pPr>
    </w:p>
    <w:p w14:paraId="15256AA3" w14:textId="77777777" w:rsidR="00071940" w:rsidRPr="000A3ECE" w:rsidRDefault="00071940" w:rsidP="00071940">
      <w:pPr>
        <w:pStyle w:val="NoSpacing"/>
        <w:spacing w:line="360" w:lineRule="auto"/>
        <w:rPr>
          <w:rFonts w:cstheme="minorHAnsi"/>
          <w:color w:val="000000" w:themeColor="text1"/>
          <w:sz w:val="24"/>
          <w:szCs w:val="24"/>
        </w:rPr>
      </w:pPr>
      <w:r w:rsidRPr="000A3ECE">
        <w:rPr>
          <w:rFonts w:cstheme="minorHAnsi"/>
          <w:color w:val="000000" w:themeColor="text1"/>
          <w:sz w:val="24"/>
          <w:szCs w:val="24"/>
        </w:rPr>
        <w:t xml:space="preserve">Evaluation </w:t>
      </w:r>
    </w:p>
    <w:p w14:paraId="57789E0B" w14:textId="77777777" w:rsidR="00071940" w:rsidRPr="000A3ECE" w:rsidRDefault="00071940" w:rsidP="00071940">
      <w:pPr>
        <w:pStyle w:val="NoSpacing"/>
        <w:spacing w:line="360" w:lineRule="auto"/>
        <w:rPr>
          <w:rFonts w:cstheme="minorHAnsi"/>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A3ECE">
        <w:rPr>
          <w:rFonts w:cstheme="minorHAnsi"/>
          <w:color w:val="000000" w:themeColor="text1"/>
          <w:sz w:val="24"/>
          <w:szCs w:val="24"/>
        </w:rPr>
        <w:t xml:space="preserve">Cognitive research has made a significant contribution towards our understanding of how thinking about gender can change over time. Kohlberg’s stages tell us how children are likely to think at different ages but little about why gender thinking changes in this way. Cognitive theories focus on the individual has encouraged us to recognise the active role children take in their own development. This is an advantage over social learning theory which sees children as passive recipients of influences from the environment.  </w:t>
      </w:r>
    </w:p>
    <w:p w14:paraId="4953F9FE" w14:textId="77777777" w:rsidR="00071940" w:rsidRPr="000A3ECE" w:rsidRDefault="00071940" w:rsidP="00071940">
      <w:pPr>
        <w:rPr>
          <w:rFonts w:cstheme="minorHAnsi"/>
          <w:sz w:val="24"/>
          <w:szCs w:val="24"/>
        </w:rPr>
      </w:pPr>
    </w:p>
    <w:p w14:paraId="6D95E910" w14:textId="77777777" w:rsidR="00E762BE" w:rsidRDefault="00E762BE"/>
    <w:sectPr w:rsidR="00E762BE" w:rsidSect="005631D1">
      <w:pgSz w:w="11906" w:h="16838" w:code="9"/>
      <w:pgMar w:top="1440" w:right="1440" w:bottom="1276"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3917B6"/>
    <w:multiLevelType w:val="hybridMultilevel"/>
    <w:tmpl w:val="BEC40960"/>
    <w:lvl w:ilvl="0" w:tplc="FDBA7974">
      <w:start w:val="1"/>
      <w:numFmt w:val="bullet"/>
      <w:lvlText w:val="•"/>
      <w:lvlJc w:val="left"/>
      <w:pPr>
        <w:tabs>
          <w:tab w:val="num" w:pos="720"/>
        </w:tabs>
        <w:ind w:left="720" w:hanging="360"/>
      </w:pPr>
      <w:rPr>
        <w:rFonts w:ascii="Arial" w:hAnsi="Arial" w:hint="default"/>
      </w:rPr>
    </w:lvl>
    <w:lvl w:ilvl="1" w:tplc="EF7E6A42" w:tentative="1">
      <w:start w:val="1"/>
      <w:numFmt w:val="bullet"/>
      <w:lvlText w:val="•"/>
      <w:lvlJc w:val="left"/>
      <w:pPr>
        <w:tabs>
          <w:tab w:val="num" w:pos="1440"/>
        </w:tabs>
        <w:ind w:left="1440" w:hanging="360"/>
      </w:pPr>
      <w:rPr>
        <w:rFonts w:ascii="Arial" w:hAnsi="Arial" w:hint="default"/>
      </w:rPr>
    </w:lvl>
    <w:lvl w:ilvl="2" w:tplc="F2C63A14" w:tentative="1">
      <w:start w:val="1"/>
      <w:numFmt w:val="bullet"/>
      <w:lvlText w:val="•"/>
      <w:lvlJc w:val="left"/>
      <w:pPr>
        <w:tabs>
          <w:tab w:val="num" w:pos="2160"/>
        </w:tabs>
        <w:ind w:left="2160" w:hanging="360"/>
      </w:pPr>
      <w:rPr>
        <w:rFonts w:ascii="Arial" w:hAnsi="Arial" w:hint="default"/>
      </w:rPr>
    </w:lvl>
    <w:lvl w:ilvl="3" w:tplc="823A4AEE" w:tentative="1">
      <w:start w:val="1"/>
      <w:numFmt w:val="bullet"/>
      <w:lvlText w:val="•"/>
      <w:lvlJc w:val="left"/>
      <w:pPr>
        <w:tabs>
          <w:tab w:val="num" w:pos="2880"/>
        </w:tabs>
        <w:ind w:left="2880" w:hanging="360"/>
      </w:pPr>
      <w:rPr>
        <w:rFonts w:ascii="Arial" w:hAnsi="Arial" w:hint="default"/>
      </w:rPr>
    </w:lvl>
    <w:lvl w:ilvl="4" w:tplc="EAD0CE18" w:tentative="1">
      <w:start w:val="1"/>
      <w:numFmt w:val="bullet"/>
      <w:lvlText w:val="•"/>
      <w:lvlJc w:val="left"/>
      <w:pPr>
        <w:tabs>
          <w:tab w:val="num" w:pos="3600"/>
        </w:tabs>
        <w:ind w:left="3600" w:hanging="360"/>
      </w:pPr>
      <w:rPr>
        <w:rFonts w:ascii="Arial" w:hAnsi="Arial" w:hint="default"/>
      </w:rPr>
    </w:lvl>
    <w:lvl w:ilvl="5" w:tplc="FC54BB32" w:tentative="1">
      <w:start w:val="1"/>
      <w:numFmt w:val="bullet"/>
      <w:lvlText w:val="•"/>
      <w:lvlJc w:val="left"/>
      <w:pPr>
        <w:tabs>
          <w:tab w:val="num" w:pos="4320"/>
        </w:tabs>
        <w:ind w:left="4320" w:hanging="360"/>
      </w:pPr>
      <w:rPr>
        <w:rFonts w:ascii="Arial" w:hAnsi="Arial" w:hint="default"/>
      </w:rPr>
    </w:lvl>
    <w:lvl w:ilvl="6" w:tplc="18003B16" w:tentative="1">
      <w:start w:val="1"/>
      <w:numFmt w:val="bullet"/>
      <w:lvlText w:val="•"/>
      <w:lvlJc w:val="left"/>
      <w:pPr>
        <w:tabs>
          <w:tab w:val="num" w:pos="5040"/>
        </w:tabs>
        <w:ind w:left="5040" w:hanging="360"/>
      </w:pPr>
      <w:rPr>
        <w:rFonts w:ascii="Arial" w:hAnsi="Arial" w:hint="default"/>
      </w:rPr>
    </w:lvl>
    <w:lvl w:ilvl="7" w:tplc="1BFABA76" w:tentative="1">
      <w:start w:val="1"/>
      <w:numFmt w:val="bullet"/>
      <w:lvlText w:val="•"/>
      <w:lvlJc w:val="left"/>
      <w:pPr>
        <w:tabs>
          <w:tab w:val="num" w:pos="5760"/>
        </w:tabs>
        <w:ind w:left="5760" w:hanging="360"/>
      </w:pPr>
      <w:rPr>
        <w:rFonts w:ascii="Arial" w:hAnsi="Arial" w:hint="default"/>
      </w:rPr>
    </w:lvl>
    <w:lvl w:ilvl="8" w:tplc="E78ED138"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CFE71E6"/>
    <w:multiLevelType w:val="hybridMultilevel"/>
    <w:tmpl w:val="BC30FEBC"/>
    <w:lvl w:ilvl="0" w:tplc="15AEF99E">
      <w:start w:val="1"/>
      <w:numFmt w:val="bullet"/>
      <w:lvlText w:val="•"/>
      <w:lvlJc w:val="left"/>
      <w:pPr>
        <w:tabs>
          <w:tab w:val="num" w:pos="720"/>
        </w:tabs>
        <w:ind w:left="720" w:hanging="360"/>
      </w:pPr>
      <w:rPr>
        <w:rFonts w:ascii="Arial" w:hAnsi="Arial" w:hint="default"/>
      </w:rPr>
    </w:lvl>
    <w:lvl w:ilvl="1" w:tplc="C582B078" w:tentative="1">
      <w:start w:val="1"/>
      <w:numFmt w:val="bullet"/>
      <w:lvlText w:val="•"/>
      <w:lvlJc w:val="left"/>
      <w:pPr>
        <w:tabs>
          <w:tab w:val="num" w:pos="1440"/>
        </w:tabs>
        <w:ind w:left="1440" w:hanging="360"/>
      </w:pPr>
      <w:rPr>
        <w:rFonts w:ascii="Arial" w:hAnsi="Arial" w:hint="default"/>
      </w:rPr>
    </w:lvl>
    <w:lvl w:ilvl="2" w:tplc="90C8CDEA" w:tentative="1">
      <w:start w:val="1"/>
      <w:numFmt w:val="bullet"/>
      <w:lvlText w:val="•"/>
      <w:lvlJc w:val="left"/>
      <w:pPr>
        <w:tabs>
          <w:tab w:val="num" w:pos="2160"/>
        </w:tabs>
        <w:ind w:left="2160" w:hanging="360"/>
      </w:pPr>
      <w:rPr>
        <w:rFonts w:ascii="Arial" w:hAnsi="Arial" w:hint="default"/>
      </w:rPr>
    </w:lvl>
    <w:lvl w:ilvl="3" w:tplc="35766DF4" w:tentative="1">
      <w:start w:val="1"/>
      <w:numFmt w:val="bullet"/>
      <w:lvlText w:val="•"/>
      <w:lvlJc w:val="left"/>
      <w:pPr>
        <w:tabs>
          <w:tab w:val="num" w:pos="2880"/>
        </w:tabs>
        <w:ind w:left="2880" w:hanging="360"/>
      </w:pPr>
      <w:rPr>
        <w:rFonts w:ascii="Arial" w:hAnsi="Arial" w:hint="default"/>
      </w:rPr>
    </w:lvl>
    <w:lvl w:ilvl="4" w:tplc="BB40F49C" w:tentative="1">
      <w:start w:val="1"/>
      <w:numFmt w:val="bullet"/>
      <w:lvlText w:val="•"/>
      <w:lvlJc w:val="left"/>
      <w:pPr>
        <w:tabs>
          <w:tab w:val="num" w:pos="3600"/>
        </w:tabs>
        <w:ind w:left="3600" w:hanging="360"/>
      </w:pPr>
      <w:rPr>
        <w:rFonts w:ascii="Arial" w:hAnsi="Arial" w:hint="default"/>
      </w:rPr>
    </w:lvl>
    <w:lvl w:ilvl="5" w:tplc="CBB0D844" w:tentative="1">
      <w:start w:val="1"/>
      <w:numFmt w:val="bullet"/>
      <w:lvlText w:val="•"/>
      <w:lvlJc w:val="left"/>
      <w:pPr>
        <w:tabs>
          <w:tab w:val="num" w:pos="4320"/>
        </w:tabs>
        <w:ind w:left="4320" w:hanging="360"/>
      </w:pPr>
      <w:rPr>
        <w:rFonts w:ascii="Arial" w:hAnsi="Arial" w:hint="default"/>
      </w:rPr>
    </w:lvl>
    <w:lvl w:ilvl="6" w:tplc="2F424100" w:tentative="1">
      <w:start w:val="1"/>
      <w:numFmt w:val="bullet"/>
      <w:lvlText w:val="•"/>
      <w:lvlJc w:val="left"/>
      <w:pPr>
        <w:tabs>
          <w:tab w:val="num" w:pos="5040"/>
        </w:tabs>
        <w:ind w:left="5040" w:hanging="360"/>
      </w:pPr>
      <w:rPr>
        <w:rFonts w:ascii="Arial" w:hAnsi="Arial" w:hint="default"/>
      </w:rPr>
    </w:lvl>
    <w:lvl w:ilvl="7" w:tplc="F8BA78BA" w:tentative="1">
      <w:start w:val="1"/>
      <w:numFmt w:val="bullet"/>
      <w:lvlText w:val="•"/>
      <w:lvlJc w:val="left"/>
      <w:pPr>
        <w:tabs>
          <w:tab w:val="num" w:pos="5760"/>
        </w:tabs>
        <w:ind w:left="5760" w:hanging="360"/>
      </w:pPr>
      <w:rPr>
        <w:rFonts w:ascii="Arial" w:hAnsi="Arial" w:hint="default"/>
      </w:rPr>
    </w:lvl>
    <w:lvl w:ilvl="8" w:tplc="DFFE9D4E"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1940"/>
    <w:rsid w:val="00071940"/>
    <w:rsid w:val="00636055"/>
    <w:rsid w:val="00926D6D"/>
    <w:rsid w:val="00B06B2D"/>
    <w:rsid w:val="00E762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C280D4"/>
  <w15:chartTrackingRefBased/>
  <w15:docId w15:val="{3E6D6D96-59C4-4B7C-9821-F8153E2CDA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194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unhideWhenUsed/>
    <w:rsid w:val="000719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jc w:val="both"/>
    </w:pPr>
    <w:rPr>
      <w:rFonts w:ascii="Courier New" w:eastAsia="Times New Roman" w:hAnsi="Courier New" w:cs="Courier New"/>
      <w:sz w:val="20"/>
      <w:szCs w:val="20"/>
      <w:lang w:eastAsia="en-GB"/>
    </w:rPr>
  </w:style>
  <w:style w:type="character" w:customStyle="1" w:styleId="HTMLPreformattedChar">
    <w:name w:val="HTML Preformatted Char"/>
    <w:basedOn w:val="DefaultParagraphFont"/>
    <w:link w:val="HTMLPreformatted"/>
    <w:uiPriority w:val="99"/>
    <w:rsid w:val="00071940"/>
    <w:rPr>
      <w:rFonts w:ascii="Courier New" w:eastAsia="Times New Roman" w:hAnsi="Courier New" w:cs="Courier New"/>
      <w:sz w:val="20"/>
      <w:szCs w:val="20"/>
      <w:lang w:eastAsia="en-GB"/>
    </w:rPr>
  </w:style>
  <w:style w:type="paragraph" w:styleId="NoSpacing">
    <w:name w:val="No Spacing"/>
    <w:uiPriority w:val="1"/>
    <w:qFormat/>
    <w:rsid w:val="00071940"/>
    <w:pPr>
      <w:spacing w:line="240" w:lineRule="auto"/>
      <w:jc w:val="both"/>
    </w:pPr>
    <w:rPr>
      <w:rFonts w:eastAsiaTheme="minorEastAsi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1205</Words>
  <Characters>6871</Characters>
  <Application>Microsoft Office Word</Application>
  <DocSecurity>0</DocSecurity>
  <Lines>57</Lines>
  <Paragraphs>16</Paragraphs>
  <ScaleCrop>false</ScaleCrop>
  <Company/>
  <LinksUpToDate>false</LinksUpToDate>
  <CharactersWithSpaces>8060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 K</dc:creator>
  <cp:keywords/>
  <dc:description/>
  <cp:lastModifiedBy>Mat K</cp:lastModifiedBy>
  <cp:revision>1</cp:revision>
  <dcterms:created xsi:type="dcterms:W3CDTF">2021-01-15T18:05:00Z</dcterms:created>
  <dcterms:modified xsi:type="dcterms:W3CDTF">2021-01-15T18:10:00Z</dcterms:modified>
</cp:coreProperties>
</file>