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D48927" w14:textId="77777777" w:rsidR="00FF7760" w:rsidRDefault="00FF7760" w:rsidP="00FF7760">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In this paper, students are encouraged to build on the theories and knowledge learned throughout the term to develop their own theoretical and practice frameworks. Specifically, using concepts from our course readings and class discussions related to theories of power, issues of diversity and oppression, ways of resistance, students are expected to apply their own understanding of these concepts to practice examples related to issues of marginalization and oppression. Students can use examples from current or past field placements, past/present social work practice, a form of political engagement or an example of social activism they are involved with. </w:t>
      </w:r>
    </w:p>
    <w:p w14:paraId="0B9E513A" w14:textId="6F11E84A" w:rsidR="00FF7760" w:rsidRDefault="00FF7760" w:rsidP="00FF7760">
      <w:pPr>
        <w:widowControl w:val="0"/>
        <w:autoSpaceDE w:val="0"/>
        <w:autoSpaceDN w:val="0"/>
        <w:adjustRightInd w:val="0"/>
        <w:spacing w:after="240" w:line="340" w:lineRule="atLeast"/>
        <w:rPr>
          <w:rFonts w:ascii="Times" w:hAnsi="Times" w:cs="Times"/>
          <w:color w:val="000000"/>
          <w:sz w:val="29"/>
          <w:szCs w:val="29"/>
        </w:rPr>
      </w:pPr>
      <w:r>
        <w:rPr>
          <w:rFonts w:ascii="Times" w:hAnsi="Times" w:cs="Times"/>
          <w:color w:val="000000"/>
          <w:sz w:val="29"/>
          <w:szCs w:val="29"/>
        </w:rPr>
        <w:t>The focus of this assignment is to engage in an analysis of power dynamics of the chosen issue and discuss how they shape interactions within and between diverse social groups. Also important is to highlight methods and strategies of resistance and how they can shape social work practice especially when addressing issues of diversity and oppression. The paper also needs to include a critical reflection of your role as a social worker engaged in advocacy, activism and/or resistance efforts at individual or broader societal levels. Examples of your reflections should include your thoughts on the challenges, opportunities as well as the ethical and professional tensions and considerations that shape your interventions and inform your practice. Papers will be graded based on integration of course readings and classroom content, critical analysis, originality of ideas, abilities to apply theories into practice, APA mecha</w:t>
      </w:r>
      <w:r w:rsidR="00114FF6">
        <w:rPr>
          <w:rFonts w:ascii="Times" w:hAnsi="Times" w:cs="Times"/>
          <w:color w:val="000000"/>
          <w:sz w:val="29"/>
          <w:szCs w:val="29"/>
        </w:rPr>
        <w:t>nics, organization and clarity</w:t>
      </w:r>
      <w:r>
        <w:rPr>
          <w:rFonts w:ascii="Times" w:hAnsi="Times" w:cs="Times"/>
          <w:color w:val="000000"/>
          <w:sz w:val="29"/>
          <w:szCs w:val="29"/>
        </w:rPr>
        <w:t>. This assignment aligns with the course learning outcomes 1, 2, 3, 4, 5, 6 &amp; 7. The paper should be 5-7 pages long maximum, double spaced, 12 points Times New Roman font, properly sourced using the 7</w:t>
      </w:r>
      <w:r>
        <w:rPr>
          <w:rFonts w:ascii="Times" w:hAnsi="Times" w:cs="Times"/>
          <w:color w:val="000000"/>
          <w:position w:val="10"/>
          <w:sz w:val="18"/>
          <w:szCs w:val="18"/>
        </w:rPr>
        <w:t xml:space="preserve">th </w:t>
      </w:r>
      <w:r>
        <w:rPr>
          <w:rFonts w:ascii="Times" w:hAnsi="Times" w:cs="Times"/>
          <w:color w:val="000000"/>
          <w:sz w:val="29"/>
          <w:szCs w:val="29"/>
        </w:rPr>
        <w:t xml:space="preserve">edition of the APA referencing style. </w:t>
      </w:r>
    </w:p>
    <w:p w14:paraId="4584B693" w14:textId="77777777" w:rsidR="00FD6A75" w:rsidRDefault="00FD6A75" w:rsidP="00FF7760">
      <w:pPr>
        <w:widowControl w:val="0"/>
        <w:autoSpaceDE w:val="0"/>
        <w:autoSpaceDN w:val="0"/>
        <w:adjustRightInd w:val="0"/>
        <w:spacing w:after="240" w:line="340" w:lineRule="atLeast"/>
        <w:rPr>
          <w:rFonts w:ascii="Times" w:hAnsi="Times" w:cs="Times"/>
          <w:color w:val="000000"/>
          <w:sz w:val="29"/>
          <w:szCs w:val="29"/>
        </w:rPr>
      </w:pPr>
    </w:p>
    <w:p w14:paraId="12521FFC" w14:textId="77777777" w:rsidR="00FD6A75" w:rsidRDefault="00FD6A75" w:rsidP="00FF7760">
      <w:pPr>
        <w:widowControl w:val="0"/>
        <w:autoSpaceDE w:val="0"/>
        <w:autoSpaceDN w:val="0"/>
        <w:adjustRightInd w:val="0"/>
        <w:spacing w:after="240" w:line="340" w:lineRule="atLeast"/>
        <w:rPr>
          <w:rFonts w:ascii="Times" w:hAnsi="Times" w:cs="Times"/>
          <w:color w:val="000000"/>
          <w:sz w:val="29"/>
          <w:szCs w:val="29"/>
        </w:rPr>
      </w:pPr>
    </w:p>
    <w:p w14:paraId="73A1D1FF" w14:textId="77777777" w:rsidR="00FD6A75" w:rsidRDefault="00FD6A75" w:rsidP="00FF7760">
      <w:pPr>
        <w:widowControl w:val="0"/>
        <w:autoSpaceDE w:val="0"/>
        <w:autoSpaceDN w:val="0"/>
        <w:adjustRightInd w:val="0"/>
        <w:spacing w:after="240" w:line="340" w:lineRule="atLeast"/>
        <w:rPr>
          <w:rFonts w:ascii="Times" w:hAnsi="Times" w:cs="Times"/>
          <w:color w:val="000000"/>
          <w:sz w:val="29"/>
          <w:szCs w:val="29"/>
        </w:rPr>
      </w:pPr>
    </w:p>
    <w:p w14:paraId="22022078" w14:textId="77777777" w:rsidR="00FD6A75" w:rsidRDefault="00FD6A75" w:rsidP="00FF7760">
      <w:pPr>
        <w:widowControl w:val="0"/>
        <w:autoSpaceDE w:val="0"/>
        <w:autoSpaceDN w:val="0"/>
        <w:adjustRightInd w:val="0"/>
        <w:spacing w:after="240" w:line="340" w:lineRule="atLeast"/>
        <w:rPr>
          <w:rFonts w:ascii="Times" w:hAnsi="Times" w:cs="Times"/>
          <w:color w:val="000000"/>
          <w:sz w:val="29"/>
          <w:szCs w:val="29"/>
        </w:rPr>
      </w:pPr>
    </w:p>
    <w:p w14:paraId="46A466BF" w14:textId="77777777" w:rsidR="00FD6A75" w:rsidRDefault="00FD6A75" w:rsidP="00FF7760">
      <w:pPr>
        <w:widowControl w:val="0"/>
        <w:autoSpaceDE w:val="0"/>
        <w:autoSpaceDN w:val="0"/>
        <w:adjustRightInd w:val="0"/>
        <w:spacing w:after="240" w:line="340" w:lineRule="atLeast"/>
        <w:rPr>
          <w:rFonts w:ascii="Times" w:hAnsi="Times" w:cs="Times"/>
          <w:color w:val="000000"/>
          <w:sz w:val="29"/>
          <w:szCs w:val="29"/>
        </w:rPr>
      </w:pPr>
    </w:p>
    <w:p w14:paraId="2C068E58" w14:textId="77777777" w:rsidR="00FD6A75" w:rsidRDefault="00FD6A75" w:rsidP="00FF7760">
      <w:pPr>
        <w:widowControl w:val="0"/>
        <w:autoSpaceDE w:val="0"/>
        <w:autoSpaceDN w:val="0"/>
        <w:adjustRightInd w:val="0"/>
        <w:spacing w:after="240" w:line="340" w:lineRule="atLeast"/>
        <w:rPr>
          <w:rFonts w:ascii="Times" w:hAnsi="Times" w:cs="Times"/>
          <w:color w:val="000000"/>
          <w:sz w:val="29"/>
          <w:szCs w:val="29"/>
        </w:rPr>
      </w:pPr>
    </w:p>
    <w:p w14:paraId="128FA176" w14:textId="23E30308" w:rsidR="00FD6A75" w:rsidRDefault="00FD6A75" w:rsidP="00FD6A75">
      <w:pPr>
        <w:widowControl w:val="0"/>
        <w:autoSpaceDE w:val="0"/>
        <w:autoSpaceDN w:val="0"/>
        <w:adjustRightInd w:val="0"/>
        <w:spacing w:after="240" w:line="340" w:lineRule="atLeast"/>
        <w:rPr>
          <w:rFonts w:ascii="Times" w:hAnsi="Times" w:cs="Times"/>
          <w:b/>
          <w:bCs/>
          <w:color w:val="000000"/>
          <w:sz w:val="29"/>
          <w:szCs w:val="29"/>
        </w:rPr>
      </w:pPr>
      <w:r>
        <w:rPr>
          <w:rFonts w:ascii="Times" w:hAnsi="Times" w:cs="Times"/>
          <w:b/>
          <w:bCs/>
          <w:color w:val="000000"/>
          <w:sz w:val="29"/>
          <w:szCs w:val="29"/>
        </w:rPr>
        <w:t>Book and articles</w:t>
      </w:r>
      <w:r w:rsidR="00AB269B">
        <w:rPr>
          <w:rFonts w:ascii="Times" w:hAnsi="Times" w:cs="Times"/>
          <w:b/>
          <w:bCs/>
          <w:color w:val="000000"/>
          <w:sz w:val="29"/>
          <w:szCs w:val="29"/>
        </w:rPr>
        <w:t xml:space="preserve"> ( Class discussions)</w:t>
      </w:r>
      <w:bookmarkStart w:id="0" w:name="_GoBack"/>
      <w:bookmarkEnd w:id="0"/>
    </w:p>
    <w:p w14:paraId="4D87CAF3"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lastRenderedPageBreak/>
        <w:t>January 19</w:t>
      </w:r>
      <w:r>
        <w:rPr>
          <w:rFonts w:ascii="Times" w:hAnsi="Times" w:cs="Times"/>
          <w:b/>
          <w:bCs/>
          <w:color w:val="000000"/>
          <w:position w:val="10"/>
          <w:sz w:val="18"/>
          <w:szCs w:val="18"/>
        </w:rPr>
        <w:t>th</w:t>
      </w:r>
      <w:r>
        <w:rPr>
          <w:rFonts w:ascii="MS Mincho" w:eastAsia="MS Mincho" w:hAnsi="MS Mincho" w:cs="MS Mincho"/>
          <w:b/>
          <w:bCs/>
          <w:color w:val="000000"/>
          <w:sz w:val="18"/>
          <w:szCs w:val="18"/>
        </w:rPr>
        <w:t> </w:t>
      </w:r>
      <w:r>
        <w:rPr>
          <w:rFonts w:ascii="Times" w:hAnsi="Times" w:cs="Times"/>
          <w:b/>
          <w:bCs/>
          <w:color w:val="000000"/>
          <w:sz w:val="29"/>
          <w:szCs w:val="29"/>
        </w:rPr>
        <w:t>Readings</w:t>
      </w:r>
      <w:r>
        <w:rPr>
          <w:rFonts w:ascii="Times" w:hAnsi="Times" w:cs="Times"/>
          <w:color w:val="000000"/>
          <w:sz w:val="29"/>
          <w:szCs w:val="29"/>
        </w:rPr>
        <w:t>:</w:t>
      </w:r>
      <w:r>
        <w:rPr>
          <w:rFonts w:ascii="MS Mincho" w:eastAsia="MS Mincho" w:hAnsi="MS Mincho" w:cs="MS Mincho"/>
          <w:color w:val="000000"/>
          <w:sz w:val="29"/>
          <w:szCs w:val="29"/>
        </w:rPr>
        <w:t> </w:t>
      </w:r>
      <w:r>
        <w:rPr>
          <w:rFonts w:ascii="Times" w:hAnsi="Times" w:cs="Times"/>
          <w:color w:val="000000"/>
          <w:sz w:val="29"/>
          <w:szCs w:val="29"/>
        </w:rPr>
        <w:t xml:space="preserve">Kennedy-Kish, B., Sinclair, S., Carniol, B., &amp; Baines, D. (2017). </w:t>
      </w:r>
      <w:r>
        <w:rPr>
          <w:rFonts w:ascii="Times" w:hAnsi="Times" w:cs="Times"/>
          <w:i/>
          <w:iCs/>
          <w:color w:val="000000"/>
          <w:sz w:val="29"/>
          <w:szCs w:val="29"/>
        </w:rPr>
        <w:t xml:space="preserve">Case critical: Social services and social </w:t>
      </w:r>
    </w:p>
    <w:p w14:paraId="6D81B3D3"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justice in Canada </w:t>
      </w:r>
      <w:r>
        <w:rPr>
          <w:rFonts w:ascii="Times" w:hAnsi="Times" w:cs="Times"/>
          <w:color w:val="000000"/>
          <w:sz w:val="29"/>
          <w:szCs w:val="29"/>
        </w:rPr>
        <w:t>(7th Ed.). Toronto, ON: Between the Lines. (Chapter 1, pp. 1-10).</w:t>
      </w:r>
      <w:r>
        <w:rPr>
          <w:rFonts w:ascii="MS Mincho" w:eastAsia="MS Mincho" w:hAnsi="MS Mincho" w:cs="MS Mincho"/>
          <w:color w:val="000000"/>
          <w:sz w:val="29"/>
          <w:szCs w:val="29"/>
        </w:rPr>
        <w:t> </w:t>
      </w:r>
      <w:r>
        <w:rPr>
          <w:rFonts w:ascii="Times" w:hAnsi="Times" w:cs="Times"/>
          <w:color w:val="000000"/>
          <w:sz w:val="29"/>
          <w:szCs w:val="29"/>
        </w:rPr>
        <w:t xml:space="preserve">Young, I. M. (2014). Five faces of oppression. In N. Asumah, &amp; Mechthild Nagel (Eds.). </w:t>
      </w:r>
      <w:r>
        <w:rPr>
          <w:rFonts w:ascii="Times" w:hAnsi="Times" w:cs="Times"/>
          <w:i/>
          <w:iCs/>
          <w:color w:val="000000"/>
          <w:sz w:val="29"/>
          <w:szCs w:val="29"/>
        </w:rPr>
        <w:t xml:space="preserve">Diversity, Social </w:t>
      </w:r>
    </w:p>
    <w:p w14:paraId="23DCA6E8"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Justice and Inclusive Excellence: Transdisciplinary and Global Perspectives. </w:t>
      </w:r>
      <w:r>
        <w:rPr>
          <w:rFonts w:ascii="Times" w:hAnsi="Times" w:cs="Times"/>
          <w:color w:val="000000"/>
          <w:sz w:val="29"/>
          <w:szCs w:val="29"/>
        </w:rPr>
        <w:t xml:space="preserve">(pp. 3-33). New York: State University of New York Press. </w:t>
      </w:r>
    </w:p>
    <w:p w14:paraId="62FBD27E" w14:textId="20DF42BB" w:rsidR="00FD6A75" w:rsidRDefault="005E441D"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355BB7"/>
          <w:sz w:val="29"/>
          <w:szCs w:val="29"/>
        </w:rPr>
        <w:t xml:space="preserve"> </w:t>
      </w:r>
      <w:r w:rsidR="00FD6A75">
        <w:rPr>
          <w:rFonts w:ascii="Times" w:hAnsi="Times" w:cs="Times"/>
          <w:color w:val="355BB7"/>
          <w:sz w:val="29"/>
          <w:szCs w:val="29"/>
        </w:rPr>
        <w:t xml:space="preserve"> </w:t>
      </w:r>
    </w:p>
    <w:p w14:paraId="71C71F29"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Please listen to the following CBC Massey Lectures:</w:t>
      </w:r>
      <w:r>
        <w:rPr>
          <w:rFonts w:ascii="MS Mincho" w:eastAsia="MS Mincho" w:hAnsi="MS Mincho" w:cs="MS Mincho"/>
          <w:color w:val="000000"/>
          <w:sz w:val="29"/>
          <w:szCs w:val="29"/>
        </w:rPr>
        <w:t> </w:t>
      </w:r>
      <w:r>
        <w:rPr>
          <w:rFonts w:ascii="Times" w:hAnsi="Times" w:cs="Times"/>
          <w:color w:val="000000"/>
          <w:sz w:val="29"/>
          <w:szCs w:val="29"/>
        </w:rPr>
        <w:t xml:space="preserve">Tanya Talaga (Author). (2018). </w:t>
      </w:r>
      <w:r>
        <w:rPr>
          <w:rFonts w:ascii="Times" w:hAnsi="Times" w:cs="Times"/>
          <w:i/>
          <w:iCs/>
          <w:color w:val="000000"/>
          <w:sz w:val="29"/>
          <w:szCs w:val="29"/>
        </w:rPr>
        <w:t>We were Always Here</w:t>
      </w:r>
      <w:r>
        <w:rPr>
          <w:rFonts w:ascii="Times" w:hAnsi="Times" w:cs="Times"/>
          <w:color w:val="000000"/>
          <w:sz w:val="29"/>
          <w:szCs w:val="29"/>
        </w:rPr>
        <w:t xml:space="preserve">. Lecture One of the” </w:t>
      </w:r>
      <w:r>
        <w:rPr>
          <w:rFonts w:ascii="Times" w:hAnsi="Times" w:cs="Times"/>
          <w:i/>
          <w:iCs/>
          <w:color w:val="000000"/>
          <w:sz w:val="29"/>
          <w:szCs w:val="29"/>
        </w:rPr>
        <w:t xml:space="preserve">All Our Relations: Finding </w:t>
      </w:r>
    </w:p>
    <w:p w14:paraId="7F035D9A"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the Path Forward”. </w:t>
      </w:r>
      <w:r>
        <w:rPr>
          <w:rFonts w:ascii="Times" w:hAnsi="Times" w:cs="Times"/>
          <w:color w:val="000000"/>
          <w:sz w:val="29"/>
          <w:szCs w:val="29"/>
        </w:rPr>
        <w:t>[The 2018 CBC Massey Lectures Series]. Toronto, Canada Broadcasting</w:t>
      </w:r>
      <w:r>
        <w:rPr>
          <w:rFonts w:ascii="MS Mincho" w:eastAsia="MS Mincho" w:hAnsi="MS Mincho" w:cs="MS Mincho"/>
          <w:color w:val="000000"/>
          <w:sz w:val="29"/>
          <w:szCs w:val="29"/>
        </w:rPr>
        <w:t> </w:t>
      </w:r>
      <w:r>
        <w:rPr>
          <w:rFonts w:ascii="Times" w:hAnsi="Times" w:cs="Times"/>
          <w:color w:val="000000"/>
          <w:sz w:val="29"/>
          <w:szCs w:val="29"/>
        </w:rPr>
        <w:t xml:space="preserve">2 </w:t>
      </w:r>
    </w:p>
    <w:p w14:paraId="3F2AEAEF"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t xml:space="preserve">Class1 :Introduction,Definitions,Positioning,&amp;OverviewoftheCourse </w:t>
      </w:r>
    </w:p>
    <w:p w14:paraId="6C83B4C1"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No readings required </w:t>
      </w:r>
    </w:p>
    <w:p w14:paraId="13BA3977"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t xml:space="preserve">Class 2: Theoretical Foundations I- Diversity &amp; Oppression </w:t>
      </w:r>
    </w:p>
    <w:p w14:paraId="6A3B4CB1" w14:textId="3C0556DC" w:rsidR="00FD6A75" w:rsidRDefault="00FD6A75" w:rsidP="00FD6A75">
      <w:pPr>
        <w:widowControl w:val="0"/>
        <w:autoSpaceDE w:val="0"/>
        <w:autoSpaceDN w:val="0"/>
        <w:adjustRightInd w:val="0"/>
        <w:spacing w:line="280" w:lineRule="atLeast"/>
        <w:rPr>
          <w:rFonts w:ascii="Times" w:hAnsi="Times" w:cs="Times"/>
          <w:color w:val="000000"/>
        </w:rPr>
      </w:pPr>
      <w:r>
        <w:rPr>
          <w:rFonts w:ascii="Times" w:hAnsi="Times" w:cs="Times"/>
          <w:noProof/>
          <w:color w:val="000000"/>
        </w:rPr>
        <w:drawing>
          <wp:inline distT="0" distB="0" distL="0" distR="0" wp14:anchorId="7C6ABCEA" wp14:editId="6C1491CF">
            <wp:extent cx="3352800" cy="12700"/>
            <wp:effectExtent l="0" t="0" r="0" b="1270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52800" cy="12700"/>
                    </a:xfrm>
                    <a:prstGeom prst="rect">
                      <a:avLst/>
                    </a:prstGeom>
                    <a:noFill/>
                    <a:ln>
                      <a:noFill/>
                    </a:ln>
                  </pic:spPr>
                </pic:pic>
              </a:graphicData>
            </a:graphic>
          </wp:inline>
        </w:drawing>
      </w:r>
      <w:r>
        <w:rPr>
          <w:rFonts w:ascii="Times" w:hAnsi="Times" w:cs="Times"/>
          <w:color w:val="000000"/>
        </w:rPr>
        <w:t xml:space="preserve"> </w:t>
      </w:r>
    </w:p>
    <w:p w14:paraId="7FFA008F"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Corporation (CBC). Retrieved from: </w:t>
      </w:r>
      <w:r>
        <w:rPr>
          <w:rFonts w:ascii="Times" w:hAnsi="Times" w:cs="Times"/>
          <w:color w:val="0B4CB4"/>
          <w:sz w:val="29"/>
          <w:szCs w:val="29"/>
        </w:rPr>
        <w:t xml:space="preserve">https://www.speakers.ca/2019/08/tanya-talaga-2018-cbc- massey-lectures/ </w:t>
      </w:r>
    </w:p>
    <w:p w14:paraId="34F45B1F"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t>January 26</w:t>
      </w:r>
      <w:r>
        <w:rPr>
          <w:rFonts w:ascii="Times" w:hAnsi="Times" w:cs="Times"/>
          <w:b/>
          <w:bCs/>
          <w:color w:val="000000"/>
          <w:position w:val="10"/>
          <w:sz w:val="18"/>
          <w:szCs w:val="18"/>
        </w:rPr>
        <w:t xml:space="preserve">th </w:t>
      </w:r>
      <w:r>
        <w:rPr>
          <w:rFonts w:ascii="Times" w:hAnsi="Times" w:cs="Times"/>
          <w:b/>
          <w:bCs/>
          <w:color w:val="000000"/>
          <w:sz w:val="29"/>
          <w:szCs w:val="29"/>
        </w:rPr>
        <w:t>Class 3: Theoretical Foundations II- Approaches to Power</w:t>
      </w:r>
      <w:r>
        <w:rPr>
          <w:rFonts w:ascii="MS Mincho" w:eastAsia="MS Mincho" w:hAnsi="MS Mincho" w:cs="MS Mincho"/>
          <w:b/>
          <w:bCs/>
          <w:color w:val="000000"/>
          <w:sz w:val="29"/>
          <w:szCs w:val="29"/>
        </w:rPr>
        <w:t> </w:t>
      </w:r>
      <w:r>
        <w:rPr>
          <w:rFonts w:ascii="Times" w:hAnsi="Times" w:cs="Times"/>
          <w:b/>
          <w:bCs/>
          <w:color w:val="000000"/>
          <w:sz w:val="29"/>
          <w:szCs w:val="29"/>
        </w:rPr>
        <w:t>Readings:</w:t>
      </w:r>
      <w:r>
        <w:rPr>
          <w:rFonts w:ascii="MS Mincho" w:eastAsia="MS Mincho" w:hAnsi="MS Mincho" w:cs="MS Mincho"/>
          <w:b/>
          <w:bCs/>
          <w:color w:val="000000"/>
          <w:sz w:val="29"/>
          <w:szCs w:val="29"/>
        </w:rPr>
        <w:t> </w:t>
      </w:r>
      <w:r>
        <w:rPr>
          <w:rFonts w:ascii="Times" w:hAnsi="Times" w:cs="Times"/>
          <w:color w:val="000000"/>
          <w:sz w:val="29"/>
          <w:szCs w:val="29"/>
        </w:rPr>
        <w:t xml:space="preserve">Kennedy-Kish, B., Sinclair, S., Carniol, B., &amp; Baines, D. (2017). </w:t>
      </w:r>
      <w:r>
        <w:rPr>
          <w:rFonts w:ascii="Times" w:hAnsi="Times" w:cs="Times"/>
          <w:i/>
          <w:iCs/>
          <w:color w:val="000000"/>
          <w:sz w:val="29"/>
          <w:szCs w:val="29"/>
        </w:rPr>
        <w:t xml:space="preserve">Case critical: Social services and social </w:t>
      </w:r>
    </w:p>
    <w:p w14:paraId="1D5880C4"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justice in Canada </w:t>
      </w:r>
      <w:r>
        <w:rPr>
          <w:rFonts w:ascii="Times" w:hAnsi="Times" w:cs="Times"/>
          <w:color w:val="000000"/>
          <w:sz w:val="29"/>
          <w:szCs w:val="29"/>
        </w:rPr>
        <w:t xml:space="preserve">(7th Ed.). Toronto, ON: Between the Lines. (Chapter 2 &amp; 3, pp. 11-51). Tew, J. (2006). Understanding power and powerlessness: towards a framework for emancipatory </w:t>
      </w:r>
    </w:p>
    <w:p w14:paraId="6750A423"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practice in social work. </w:t>
      </w:r>
      <w:r>
        <w:rPr>
          <w:rFonts w:ascii="Times" w:hAnsi="Times" w:cs="Times"/>
          <w:i/>
          <w:iCs/>
          <w:color w:val="000000"/>
          <w:sz w:val="29"/>
          <w:szCs w:val="29"/>
        </w:rPr>
        <w:t>Journal of social work, 6</w:t>
      </w:r>
      <w:r>
        <w:rPr>
          <w:rFonts w:ascii="Times" w:hAnsi="Times" w:cs="Times"/>
          <w:color w:val="000000"/>
          <w:sz w:val="29"/>
          <w:szCs w:val="29"/>
        </w:rPr>
        <w:t xml:space="preserve">(1), 33-51. </w:t>
      </w:r>
    </w:p>
    <w:p w14:paraId="1BB5B0C1" w14:textId="7C33A83C" w:rsidR="00FD6A75" w:rsidRDefault="00DF703B"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355BB7"/>
          <w:sz w:val="29"/>
          <w:szCs w:val="29"/>
        </w:rPr>
        <w:t xml:space="preserve"> </w:t>
      </w:r>
      <w:r w:rsidR="00FD6A75">
        <w:rPr>
          <w:rFonts w:ascii="Times" w:hAnsi="Times" w:cs="Times"/>
          <w:color w:val="355BB7"/>
          <w:sz w:val="29"/>
          <w:szCs w:val="29"/>
        </w:rPr>
        <w:t xml:space="preserve"> </w:t>
      </w:r>
    </w:p>
    <w:p w14:paraId="244A8E04"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Please listen to the following CBC Massey Lectures:</w:t>
      </w:r>
      <w:r>
        <w:rPr>
          <w:rFonts w:ascii="MS Mincho" w:eastAsia="MS Mincho" w:hAnsi="MS Mincho" w:cs="MS Mincho"/>
          <w:color w:val="000000"/>
          <w:sz w:val="29"/>
          <w:szCs w:val="29"/>
        </w:rPr>
        <w:t> </w:t>
      </w:r>
      <w:r>
        <w:rPr>
          <w:rFonts w:ascii="Times" w:hAnsi="Times" w:cs="Times"/>
          <w:color w:val="000000"/>
          <w:sz w:val="29"/>
          <w:szCs w:val="29"/>
        </w:rPr>
        <w:t xml:space="preserve">Tanya Talaga (Author). (2018). </w:t>
      </w:r>
      <w:r>
        <w:rPr>
          <w:rFonts w:ascii="Times" w:hAnsi="Times" w:cs="Times"/>
          <w:i/>
          <w:iCs/>
          <w:color w:val="000000"/>
          <w:sz w:val="29"/>
          <w:szCs w:val="29"/>
        </w:rPr>
        <w:t>Big Brother Hunger</w:t>
      </w:r>
      <w:r>
        <w:rPr>
          <w:rFonts w:ascii="Times" w:hAnsi="Times" w:cs="Times"/>
          <w:color w:val="000000"/>
          <w:sz w:val="29"/>
          <w:szCs w:val="29"/>
        </w:rPr>
        <w:t xml:space="preserve">. Lecture Two of the” </w:t>
      </w:r>
      <w:r>
        <w:rPr>
          <w:rFonts w:ascii="Times" w:hAnsi="Times" w:cs="Times"/>
          <w:i/>
          <w:iCs/>
          <w:color w:val="000000"/>
          <w:sz w:val="29"/>
          <w:szCs w:val="29"/>
        </w:rPr>
        <w:t xml:space="preserve">All Our Relations: Finding the </w:t>
      </w:r>
    </w:p>
    <w:p w14:paraId="5B37083E"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Path Forward”. </w:t>
      </w:r>
      <w:r>
        <w:rPr>
          <w:rFonts w:ascii="Times" w:hAnsi="Times" w:cs="Times"/>
          <w:color w:val="000000"/>
          <w:sz w:val="29"/>
          <w:szCs w:val="29"/>
        </w:rPr>
        <w:t xml:space="preserve">[The 2018 CBC Massey Lectures Series]. Toronto, Canada Broadcasting Corporation (CBC). Retrieved from: </w:t>
      </w:r>
      <w:r>
        <w:rPr>
          <w:rFonts w:ascii="Times" w:hAnsi="Times" w:cs="Times"/>
          <w:color w:val="0B4CB4"/>
          <w:sz w:val="29"/>
          <w:szCs w:val="29"/>
        </w:rPr>
        <w:t xml:space="preserve">https://www.speakers.ca/2019/08/tanya-talaga-2018-cbc- massey-lectures/ </w:t>
      </w:r>
    </w:p>
    <w:p w14:paraId="694415BA"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t>February 2</w:t>
      </w:r>
      <w:r>
        <w:rPr>
          <w:rFonts w:ascii="Times" w:hAnsi="Times" w:cs="Times"/>
          <w:b/>
          <w:bCs/>
          <w:color w:val="000000"/>
          <w:position w:val="10"/>
          <w:sz w:val="18"/>
          <w:szCs w:val="18"/>
        </w:rPr>
        <w:t xml:space="preserve">nd </w:t>
      </w:r>
      <w:r>
        <w:rPr>
          <w:rFonts w:ascii="Times" w:hAnsi="Times" w:cs="Times"/>
          <w:b/>
          <w:bCs/>
          <w:color w:val="000000"/>
          <w:sz w:val="29"/>
          <w:szCs w:val="29"/>
        </w:rPr>
        <w:t>Class 4: Understanding the Operation of Power</w:t>
      </w:r>
      <w:r>
        <w:rPr>
          <w:rFonts w:ascii="MS Mincho" w:eastAsia="MS Mincho" w:hAnsi="MS Mincho" w:cs="MS Mincho"/>
          <w:b/>
          <w:bCs/>
          <w:color w:val="000000"/>
          <w:sz w:val="29"/>
          <w:szCs w:val="29"/>
        </w:rPr>
        <w:t> </w:t>
      </w:r>
      <w:r>
        <w:rPr>
          <w:rFonts w:ascii="Times" w:hAnsi="Times" w:cs="Times"/>
          <w:b/>
          <w:bCs/>
          <w:color w:val="000000"/>
          <w:sz w:val="29"/>
          <w:szCs w:val="29"/>
        </w:rPr>
        <w:t>Readings:</w:t>
      </w:r>
      <w:r>
        <w:rPr>
          <w:rFonts w:ascii="MS Mincho" w:eastAsia="MS Mincho" w:hAnsi="MS Mincho" w:cs="MS Mincho"/>
          <w:b/>
          <w:bCs/>
          <w:color w:val="000000"/>
          <w:sz w:val="29"/>
          <w:szCs w:val="29"/>
        </w:rPr>
        <w:t> </w:t>
      </w:r>
      <w:r>
        <w:rPr>
          <w:rFonts w:ascii="Times" w:hAnsi="Times" w:cs="Times"/>
          <w:color w:val="000000"/>
          <w:sz w:val="29"/>
          <w:szCs w:val="29"/>
        </w:rPr>
        <w:t xml:space="preserve">Kennedy-Kish, B., Sinclair, S., Carniol, B., &amp; Baines, D. (2017). </w:t>
      </w:r>
      <w:r>
        <w:rPr>
          <w:rFonts w:ascii="Times" w:hAnsi="Times" w:cs="Times"/>
          <w:i/>
          <w:iCs/>
          <w:color w:val="000000"/>
          <w:sz w:val="29"/>
          <w:szCs w:val="29"/>
        </w:rPr>
        <w:t xml:space="preserve">Case critical: Social services and social </w:t>
      </w:r>
    </w:p>
    <w:p w14:paraId="74026D4A"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justice in Canada </w:t>
      </w:r>
      <w:r>
        <w:rPr>
          <w:rFonts w:ascii="Times" w:hAnsi="Times" w:cs="Times"/>
          <w:color w:val="000000"/>
          <w:sz w:val="29"/>
          <w:szCs w:val="29"/>
        </w:rPr>
        <w:t>(7th Ed.). Toronto, ON: Between the Lines. (Chapter 4, pp. 52-75).</w:t>
      </w:r>
      <w:r>
        <w:rPr>
          <w:rFonts w:ascii="MS Mincho" w:eastAsia="MS Mincho" w:hAnsi="MS Mincho" w:cs="MS Mincho"/>
          <w:color w:val="000000"/>
          <w:sz w:val="29"/>
          <w:szCs w:val="29"/>
        </w:rPr>
        <w:t> </w:t>
      </w:r>
      <w:r>
        <w:rPr>
          <w:rFonts w:ascii="Times" w:hAnsi="Times" w:cs="Times"/>
          <w:color w:val="000000"/>
          <w:sz w:val="29"/>
          <w:szCs w:val="29"/>
        </w:rPr>
        <w:t>Please listen to the following CBC Massey Lecture:</w:t>
      </w:r>
      <w:r>
        <w:rPr>
          <w:rFonts w:ascii="MS Mincho" w:eastAsia="MS Mincho" w:hAnsi="MS Mincho" w:cs="MS Mincho"/>
          <w:color w:val="000000"/>
          <w:sz w:val="29"/>
          <w:szCs w:val="29"/>
        </w:rPr>
        <w:t> </w:t>
      </w:r>
      <w:r>
        <w:rPr>
          <w:rFonts w:ascii="Times" w:hAnsi="Times" w:cs="Times"/>
          <w:color w:val="000000"/>
          <w:sz w:val="29"/>
          <w:szCs w:val="29"/>
        </w:rPr>
        <w:t xml:space="preserve">Tanya Talaga (Author). (2018). </w:t>
      </w:r>
      <w:r>
        <w:rPr>
          <w:rFonts w:ascii="Times" w:hAnsi="Times" w:cs="Times"/>
          <w:i/>
          <w:iCs/>
          <w:color w:val="000000"/>
          <w:sz w:val="29"/>
          <w:szCs w:val="29"/>
        </w:rPr>
        <w:t>The Third Space</w:t>
      </w:r>
      <w:r>
        <w:rPr>
          <w:rFonts w:ascii="Times" w:hAnsi="Times" w:cs="Times"/>
          <w:color w:val="000000"/>
          <w:sz w:val="29"/>
          <w:szCs w:val="29"/>
        </w:rPr>
        <w:t xml:space="preserve">. Lecture Three of the” </w:t>
      </w:r>
      <w:r>
        <w:rPr>
          <w:rFonts w:ascii="Times" w:hAnsi="Times" w:cs="Times"/>
          <w:i/>
          <w:iCs/>
          <w:color w:val="000000"/>
          <w:sz w:val="29"/>
          <w:szCs w:val="29"/>
        </w:rPr>
        <w:t xml:space="preserve">All Our Relations: Finding the </w:t>
      </w:r>
    </w:p>
    <w:p w14:paraId="1C279F3B"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Path Forward”. </w:t>
      </w:r>
      <w:r>
        <w:rPr>
          <w:rFonts w:ascii="Times" w:hAnsi="Times" w:cs="Times"/>
          <w:color w:val="000000"/>
          <w:sz w:val="29"/>
          <w:szCs w:val="29"/>
        </w:rPr>
        <w:t xml:space="preserve">[The 2018 CBC Massey Lectures Series]. Toronto, Canada Broadcasting Corporation (CBC). Retrieved from: </w:t>
      </w:r>
      <w:r>
        <w:rPr>
          <w:rFonts w:ascii="Times" w:hAnsi="Times" w:cs="Times"/>
          <w:color w:val="0B4CB4"/>
          <w:sz w:val="29"/>
          <w:szCs w:val="29"/>
        </w:rPr>
        <w:t xml:space="preserve">https://www.speakers.ca/2019/08/tanya-talaga-2018-cbc- massey-lectures/ </w:t>
      </w:r>
    </w:p>
    <w:p w14:paraId="37144AEA"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Please Listen to the Following Scholar Strike Canada Tech in</w:t>
      </w:r>
      <w:r>
        <w:rPr>
          <w:rFonts w:ascii="MS Mincho" w:eastAsia="MS Mincho" w:hAnsi="MS Mincho" w:cs="MS Mincho"/>
          <w:color w:val="000000"/>
          <w:sz w:val="29"/>
          <w:szCs w:val="29"/>
        </w:rPr>
        <w:t> </w:t>
      </w:r>
      <w:r>
        <w:rPr>
          <w:rFonts w:ascii="Times" w:hAnsi="Times" w:cs="Times"/>
          <w:color w:val="000000"/>
          <w:sz w:val="29"/>
          <w:szCs w:val="29"/>
        </w:rPr>
        <w:t xml:space="preserve">Scholar Strike Canada (2020). Desmond Cole on </w:t>
      </w:r>
      <w:r>
        <w:rPr>
          <w:rFonts w:ascii="Times" w:hAnsi="Times" w:cs="Times"/>
          <w:i/>
          <w:iCs/>
          <w:color w:val="000000"/>
          <w:sz w:val="29"/>
          <w:szCs w:val="29"/>
        </w:rPr>
        <w:t xml:space="preserve">Abolition or Death: Confronting Police Forces in Canada. </w:t>
      </w:r>
    </w:p>
    <w:p w14:paraId="208ABA7E"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[Scholar Strike Canada]. </w:t>
      </w:r>
      <w:r>
        <w:rPr>
          <w:rFonts w:ascii="Times" w:hAnsi="Times" w:cs="Times"/>
          <w:color w:val="000000"/>
          <w:sz w:val="29"/>
          <w:szCs w:val="29"/>
        </w:rPr>
        <w:t xml:space="preserve">Toronto, Canada. Retrieved from: </w:t>
      </w:r>
    </w:p>
    <w:p w14:paraId="05213231"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B4CB4"/>
          <w:sz w:val="29"/>
          <w:szCs w:val="29"/>
        </w:rPr>
        <w:t xml:space="preserve">https://www.youtube.com/watch?v=m4WbptvQk8M </w:t>
      </w:r>
    </w:p>
    <w:p w14:paraId="658F410A"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Additional Readings &amp; Resources: </w:t>
      </w:r>
    </w:p>
    <w:p w14:paraId="43BF0229"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Gibbons, J &amp; Gray, M (2004). Critical thinking as an integral to social work practice. </w:t>
      </w:r>
      <w:r>
        <w:rPr>
          <w:rFonts w:ascii="Times" w:hAnsi="Times" w:cs="Times"/>
          <w:i/>
          <w:iCs/>
          <w:color w:val="000000"/>
          <w:sz w:val="29"/>
          <w:szCs w:val="29"/>
        </w:rPr>
        <w:t>Journal of Teaching in Social Work, 24</w:t>
      </w:r>
      <w:r>
        <w:rPr>
          <w:rFonts w:ascii="Times" w:hAnsi="Times" w:cs="Times"/>
          <w:color w:val="000000"/>
          <w:sz w:val="29"/>
          <w:szCs w:val="29"/>
        </w:rPr>
        <w:t xml:space="preserve">(1/2), 19-38. </w:t>
      </w:r>
    </w:p>
    <w:p w14:paraId="11C2BD75" w14:textId="012A8D09"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355BB7"/>
          <w:sz w:val="29"/>
          <w:szCs w:val="29"/>
        </w:rPr>
        <w:t xml:space="preserve"> </w:t>
      </w:r>
    </w:p>
    <w:p w14:paraId="76EAEDD1" w14:textId="0BDB4A15"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355BB7"/>
          <w:sz w:val="29"/>
          <w:szCs w:val="29"/>
        </w:rPr>
        <w:t xml:space="preserve">  </w:t>
      </w:r>
    </w:p>
    <w:p w14:paraId="2DB27399" w14:textId="339D339C"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Todd, S. (2011). “That power and privilege thing”: Securing whiteness in community work. Journal of </w:t>
      </w:r>
      <w:r>
        <w:rPr>
          <w:rFonts w:ascii="Times" w:hAnsi="Times" w:cs="Times"/>
          <w:i/>
          <w:iCs/>
          <w:color w:val="000000"/>
          <w:sz w:val="29"/>
          <w:szCs w:val="29"/>
        </w:rPr>
        <w:t>Progressive Human Services, 22</w:t>
      </w:r>
      <w:r>
        <w:rPr>
          <w:rFonts w:ascii="Times" w:hAnsi="Times" w:cs="Times"/>
          <w:color w:val="000000"/>
          <w:sz w:val="29"/>
          <w:szCs w:val="29"/>
        </w:rPr>
        <w:t xml:space="preserve">(2), 117-134. </w:t>
      </w:r>
      <w:r w:rsidR="00DF703B">
        <w:rPr>
          <w:rFonts w:ascii="Times" w:hAnsi="Times" w:cs="Times"/>
          <w:color w:val="0B4CB4"/>
          <w:sz w:val="29"/>
          <w:szCs w:val="29"/>
        </w:rPr>
        <w:t xml:space="preserve"> </w:t>
      </w:r>
      <w:r>
        <w:rPr>
          <w:rFonts w:ascii="Times" w:hAnsi="Times" w:cs="Times"/>
          <w:color w:val="0B4CB4"/>
          <w:sz w:val="29"/>
          <w:szCs w:val="29"/>
        </w:rPr>
        <w:t xml:space="preserve"> </w:t>
      </w:r>
    </w:p>
    <w:p w14:paraId="3209740C"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t>February 9</w:t>
      </w:r>
      <w:r>
        <w:rPr>
          <w:rFonts w:ascii="Times" w:hAnsi="Times" w:cs="Times"/>
          <w:b/>
          <w:bCs/>
          <w:color w:val="000000"/>
          <w:position w:val="10"/>
          <w:sz w:val="18"/>
          <w:szCs w:val="18"/>
        </w:rPr>
        <w:t xml:space="preserve">th </w:t>
      </w:r>
      <w:r>
        <w:rPr>
          <w:rFonts w:ascii="Times" w:hAnsi="Times" w:cs="Times"/>
          <w:b/>
          <w:bCs/>
          <w:color w:val="000000"/>
          <w:sz w:val="29"/>
          <w:szCs w:val="29"/>
        </w:rPr>
        <w:t>Class 5: Intersectionality</w:t>
      </w:r>
      <w:r>
        <w:rPr>
          <w:rFonts w:ascii="MS Mincho" w:eastAsia="MS Mincho" w:hAnsi="MS Mincho" w:cs="MS Mincho"/>
          <w:b/>
          <w:bCs/>
          <w:color w:val="000000"/>
          <w:sz w:val="29"/>
          <w:szCs w:val="29"/>
        </w:rPr>
        <w:t> </w:t>
      </w:r>
      <w:r>
        <w:rPr>
          <w:rFonts w:ascii="Times" w:hAnsi="Times" w:cs="Times"/>
          <w:b/>
          <w:bCs/>
          <w:color w:val="000000"/>
          <w:sz w:val="29"/>
          <w:szCs w:val="29"/>
        </w:rPr>
        <w:t>Readings:</w:t>
      </w:r>
      <w:r>
        <w:rPr>
          <w:rFonts w:ascii="MS Mincho" w:eastAsia="MS Mincho" w:hAnsi="MS Mincho" w:cs="MS Mincho"/>
          <w:b/>
          <w:bCs/>
          <w:color w:val="000000"/>
          <w:sz w:val="29"/>
          <w:szCs w:val="29"/>
        </w:rPr>
        <w:t> </w:t>
      </w:r>
      <w:r>
        <w:rPr>
          <w:rFonts w:ascii="Times" w:hAnsi="Times" w:cs="Times"/>
          <w:color w:val="000000"/>
          <w:sz w:val="29"/>
          <w:szCs w:val="29"/>
        </w:rPr>
        <w:t xml:space="preserve">Kennedy-Kish, B., Sinclair, S., Carniol, B., &amp; Baines, D. (2017). </w:t>
      </w:r>
      <w:r>
        <w:rPr>
          <w:rFonts w:ascii="Times" w:hAnsi="Times" w:cs="Times"/>
          <w:i/>
          <w:iCs/>
          <w:color w:val="000000"/>
          <w:sz w:val="29"/>
          <w:szCs w:val="29"/>
        </w:rPr>
        <w:t xml:space="preserve">Case critical: Social services and social </w:t>
      </w:r>
    </w:p>
    <w:p w14:paraId="2FB5C46E"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justice in Canada </w:t>
      </w:r>
      <w:r>
        <w:rPr>
          <w:rFonts w:ascii="Times" w:hAnsi="Times" w:cs="Times"/>
          <w:color w:val="000000"/>
          <w:sz w:val="29"/>
          <w:szCs w:val="29"/>
        </w:rPr>
        <w:t>(7th Ed.). Toronto, ON: Between the Lines. (Chapter 5, pp. 76-94).</w:t>
      </w:r>
      <w:r>
        <w:rPr>
          <w:rFonts w:ascii="MS Mincho" w:eastAsia="MS Mincho" w:hAnsi="MS Mincho" w:cs="MS Mincho"/>
          <w:color w:val="000000"/>
          <w:sz w:val="29"/>
          <w:szCs w:val="29"/>
        </w:rPr>
        <w:t> </w:t>
      </w:r>
      <w:r>
        <w:rPr>
          <w:rFonts w:ascii="Times" w:hAnsi="Times" w:cs="Times"/>
          <w:color w:val="000000"/>
          <w:sz w:val="29"/>
          <w:szCs w:val="29"/>
        </w:rPr>
        <w:t xml:space="preserve">Bilge, S. &amp; Denis, A. (2010). Introduction: women, intersectionality &amp; diasporas. </w:t>
      </w:r>
      <w:r>
        <w:rPr>
          <w:rFonts w:ascii="Times" w:hAnsi="Times" w:cs="Times"/>
          <w:i/>
          <w:iCs/>
          <w:color w:val="000000"/>
          <w:sz w:val="29"/>
          <w:szCs w:val="29"/>
        </w:rPr>
        <w:t xml:space="preserve">Journal of Intercultural </w:t>
      </w:r>
    </w:p>
    <w:p w14:paraId="6B3D8228" w14:textId="1027E97C" w:rsidR="00FD6A75" w:rsidRDefault="002564EE"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 </w:t>
      </w:r>
      <w:r w:rsidR="00FD6A75">
        <w:rPr>
          <w:rFonts w:ascii="Times" w:hAnsi="Times" w:cs="Times"/>
          <w:color w:val="000000"/>
          <w:sz w:val="29"/>
          <w:szCs w:val="29"/>
        </w:rPr>
        <w:t>Please listen to the following CBC Massey Lecture:</w:t>
      </w:r>
      <w:r w:rsidR="00FD6A75">
        <w:rPr>
          <w:rFonts w:ascii="MS Mincho" w:eastAsia="MS Mincho" w:hAnsi="MS Mincho" w:cs="MS Mincho"/>
          <w:color w:val="000000"/>
          <w:sz w:val="29"/>
          <w:szCs w:val="29"/>
        </w:rPr>
        <w:t> </w:t>
      </w:r>
      <w:r w:rsidR="00FD6A75">
        <w:rPr>
          <w:rFonts w:ascii="Times" w:hAnsi="Times" w:cs="Times"/>
          <w:color w:val="000000"/>
          <w:sz w:val="29"/>
          <w:szCs w:val="29"/>
        </w:rPr>
        <w:t xml:space="preserve">Tanya Talaga (Author). (2018). </w:t>
      </w:r>
      <w:r w:rsidR="00FD6A75">
        <w:rPr>
          <w:rFonts w:ascii="Times" w:hAnsi="Times" w:cs="Times"/>
          <w:i/>
          <w:iCs/>
          <w:color w:val="000000"/>
          <w:sz w:val="29"/>
          <w:szCs w:val="29"/>
        </w:rPr>
        <w:t>Breath for Them</w:t>
      </w:r>
      <w:r w:rsidR="00FD6A75">
        <w:rPr>
          <w:rFonts w:ascii="Times" w:hAnsi="Times" w:cs="Times"/>
          <w:color w:val="000000"/>
          <w:sz w:val="29"/>
          <w:szCs w:val="29"/>
        </w:rPr>
        <w:t xml:space="preserve">. Lecture Four of the” </w:t>
      </w:r>
      <w:r w:rsidR="00FD6A75">
        <w:rPr>
          <w:rFonts w:ascii="Times" w:hAnsi="Times" w:cs="Times"/>
          <w:i/>
          <w:iCs/>
          <w:color w:val="000000"/>
          <w:sz w:val="29"/>
          <w:szCs w:val="29"/>
        </w:rPr>
        <w:t xml:space="preserve">All Our Relations: Finding the </w:t>
      </w:r>
    </w:p>
    <w:p w14:paraId="31B71C56"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Path Forward”. </w:t>
      </w:r>
      <w:r>
        <w:rPr>
          <w:rFonts w:ascii="Times" w:hAnsi="Times" w:cs="Times"/>
          <w:color w:val="000000"/>
          <w:sz w:val="29"/>
          <w:szCs w:val="29"/>
        </w:rPr>
        <w:t xml:space="preserve">[The 2018 CBC Massey Lectures Series]. Toronto, Canada Broadcasting Corporation (CBC). Retrieved from: </w:t>
      </w:r>
      <w:r>
        <w:rPr>
          <w:rFonts w:ascii="Times" w:hAnsi="Times" w:cs="Times"/>
          <w:color w:val="0B4CB4"/>
          <w:sz w:val="29"/>
          <w:szCs w:val="29"/>
        </w:rPr>
        <w:t xml:space="preserve">https://www.speakers.ca/2019/08/tanya-talaga-2018-cbc- massey-lectures/ </w:t>
      </w:r>
    </w:p>
    <w:p w14:paraId="58C6E6FB" w14:textId="2C4A53EB" w:rsidR="00FD6A75" w:rsidRDefault="00FD6A75" w:rsidP="00FD6A75">
      <w:pPr>
        <w:widowControl w:val="0"/>
        <w:autoSpaceDE w:val="0"/>
        <w:autoSpaceDN w:val="0"/>
        <w:adjustRightInd w:val="0"/>
        <w:spacing w:line="280" w:lineRule="atLeast"/>
        <w:rPr>
          <w:rFonts w:ascii="Times" w:hAnsi="Times" w:cs="Times"/>
          <w:color w:val="000000"/>
        </w:rPr>
      </w:pPr>
    </w:p>
    <w:p w14:paraId="61981FEC"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3 </w:t>
      </w:r>
    </w:p>
    <w:p w14:paraId="240D7A6D"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Please Listen to the Following Scholar Strike Tech in</w:t>
      </w:r>
      <w:r>
        <w:rPr>
          <w:rFonts w:ascii="MS Mincho" w:eastAsia="MS Mincho" w:hAnsi="MS Mincho" w:cs="MS Mincho"/>
          <w:color w:val="000000"/>
          <w:sz w:val="29"/>
          <w:szCs w:val="29"/>
        </w:rPr>
        <w:t> </w:t>
      </w:r>
      <w:r>
        <w:rPr>
          <w:rFonts w:ascii="Times" w:hAnsi="Times" w:cs="Times"/>
          <w:color w:val="000000"/>
          <w:sz w:val="29"/>
          <w:szCs w:val="29"/>
        </w:rPr>
        <w:t xml:space="preserve">Scholar Strike Canada (2020). Eve Tuck, Megan Scribe &amp; Billie-Ray Belcourt: </w:t>
      </w:r>
      <w:r>
        <w:rPr>
          <w:rFonts w:ascii="Times" w:hAnsi="Times" w:cs="Times"/>
          <w:i/>
          <w:iCs/>
          <w:color w:val="000000"/>
          <w:sz w:val="29"/>
          <w:szCs w:val="29"/>
        </w:rPr>
        <w:t xml:space="preserve">Co-Conspiring Against </w:t>
      </w:r>
    </w:p>
    <w:p w14:paraId="341E6B55"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Carceral System. [Scholar Strike Canada]. </w:t>
      </w:r>
      <w:r>
        <w:rPr>
          <w:rFonts w:ascii="Times" w:hAnsi="Times" w:cs="Times"/>
          <w:color w:val="000000"/>
          <w:sz w:val="29"/>
          <w:szCs w:val="29"/>
        </w:rPr>
        <w:t xml:space="preserve">Toronto, Canada. Retrieved from: </w:t>
      </w:r>
    </w:p>
    <w:p w14:paraId="0E087D84"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B4CB4"/>
          <w:sz w:val="29"/>
          <w:szCs w:val="29"/>
        </w:rPr>
        <w:t xml:space="preserve">https://www.youtube.com/watch?v=YoZm6agdctA </w:t>
      </w:r>
    </w:p>
    <w:p w14:paraId="76C3D810" w14:textId="77777777"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i/>
          <w:iCs/>
          <w:color w:val="000000"/>
          <w:sz w:val="29"/>
          <w:szCs w:val="29"/>
        </w:rPr>
        <w:t xml:space="preserve">Additional Readings &amp; Resources: </w:t>
      </w:r>
    </w:p>
    <w:p w14:paraId="5244D6F9" w14:textId="02899C8B" w:rsidR="00FD6A75" w:rsidRDefault="00FD6A75" w:rsidP="00FD6A75">
      <w:pPr>
        <w:widowControl w:val="0"/>
        <w:autoSpaceDE w:val="0"/>
        <w:autoSpaceDN w:val="0"/>
        <w:adjustRightInd w:val="0"/>
        <w:spacing w:after="240" w:line="340" w:lineRule="atLeast"/>
        <w:rPr>
          <w:rFonts w:ascii="Times" w:hAnsi="Times" w:cs="Times"/>
          <w:color w:val="000000"/>
        </w:rPr>
      </w:pPr>
      <w:r>
        <w:rPr>
          <w:rFonts w:ascii="Times" w:hAnsi="Times" w:cs="Times"/>
          <w:color w:val="000000"/>
          <w:sz w:val="29"/>
          <w:szCs w:val="29"/>
        </w:rPr>
        <w:t xml:space="preserve">Hulko, W. (2009). The time-and context-contingent nature of intersectionality and interlocking oppressions. </w:t>
      </w:r>
      <w:r>
        <w:rPr>
          <w:rFonts w:ascii="Times" w:hAnsi="Times" w:cs="Times"/>
          <w:i/>
          <w:iCs/>
          <w:color w:val="000000"/>
          <w:sz w:val="29"/>
          <w:szCs w:val="29"/>
        </w:rPr>
        <w:t>Affilia: Journal of women &amp; Social Work, 24</w:t>
      </w:r>
      <w:r>
        <w:rPr>
          <w:rFonts w:ascii="Times" w:hAnsi="Times" w:cs="Times"/>
          <w:color w:val="000000"/>
          <w:sz w:val="29"/>
          <w:szCs w:val="29"/>
        </w:rPr>
        <w:t xml:space="preserve">(1), 44-55. </w:t>
      </w:r>
      <w:r w:rsidR="00BC5AC8">
        <w:rPr>
          <w:rFonts w:ascii="Times" w:hAnsi="Times" w:cs="Times"/>
          <w:color w:val="355BB7"/>
          <w:sz w:val="29"/>
          <w:szCs w:val="29"/>
        </w:rPr>
        <w:t xml:space="preserve"> </w:t>
      </w:r>
      <w:r>
        <w:rPr>
          <w:rFonts w:ascii="Times" w:hAnsi="Times" w:cs="Times"/>
          <w:color w:val="355BB7"/>
          <w:sz w:val="29"/>
          <w:szCs w:val="29"/>
        </w:rPr>
        <w:t xml:space="preserve"> </w:t>
      </w:r>
    </w:p>
    <w:p w14:paraId="35F7DD5C" w14:textId="0CD6908F" w:rsidR="00FD6A75" w:rsidRDefault="009102BD" w:rsidP="00FD6A75">
      <w:pPr>
        <w:widowControl w:val="0"/>
        <w:autoSpaceDE w:val="0"/>
        <w:autoSpaceDN w:val="0"/>
        <w:adjustRightInd w:val="0"/>
        <w:spacing w:after="240" w:line="340" w:lineRule="atLeast"/>
        <w:rPr>
          <w:rFonts w:ascii="Times" w:hAnsi="Times" w:cs="Times"/>
          <w:color w:val="000000"/>
        </w:rPr>
      </w:pPr>
      <w:r>
        <w:rPr>
          <w:rFonts w:ascii="Times" w:hAnsi="Times" w:cs="Times"/>
          <w:b/>
          <w:bCs/>
          <w:color w:val="000000"/>
          <w:sz w:val="29"/>
          <w:szCs w:val="29"/>
        </w:rPr>
        <w:t xml:space="preserve"> </w:t>
      </w:r>
      <w:r w:rsidR="00FD6A75">
        <w:rPr>
          <w:rFonts w:ascii="Times" w:hAnsi="Times" w:cs="Times"/>
          <w:b/>
          <w:bCs/>
          <w:color w:val="000000"/>
          <w:sz w:val="29"/>
          <w:szCs w:val="29"/>
        </w:rPr>
        <w:t xml:space="preserve"> </w:t>
      </w:r>
    </w:p>
    <w:p w14:paraId="0F5D09CF" w14:textId="77777777" w:rsidR="00FD6A75" w:rsidRDefault="00FD6A75" w:rsidP="00FF7760">
      <w:pPr>
        <w:widowControl w:val="0"/>
        <w:autoSpaceDE w:val="0"/>
        <w:autoSpaceDN w:val="0"/>
        <w:adjustRightInd w:val="0"/>
        <w:spacing w:after="240" w:line="340" w:lineRule="atLeast"/>
        <w:rPr>
          <w:rFonts w:ascii="Times" w:hAnsi="Times" w:cs="Times"/>
          <w:color w:val="000000"/>
        </w:rPr>
      </w:pPr>
    </w:p>
    <w:p w14:paraId="539EE29C" w14:textId="77777777" w:rsidR="004E11BD" w:rsidRDefault="00AB269B"/>
    <w:sectPr w:rsidR="004E11BD" w:rsidSect="009037FA">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MS Mincho">
    <w:panose1 w:val="02020609040205080304"/>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760"/>
    <w:rsid w:val="00114FF6"/>
    <w:rsid w:val="002564EE"/>
    <w:rsid w:val="00335A33"/>
    <w:rsid w:val="005E441D"/>
    <w:rsid w:val="009102BD"/>
    <w:rsid w:val="00AB269B"/>
    <w:rsid w:val="00AB535F"/>
    <w:rsid w:val="00BC5AC8"/>
    <w:rsid w:val="00DF703B"/>
    <w:rsid w:val="00E95FE5"/>
    <w:rsid w:val="00FD6A75"/>
    <w:rsid w:val="00FF77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A85DA4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900</Words>
  <Characters>5135</Characters>
  <Application>Microsoft Macintosh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Anubondem Asongacap Mabel</dc:creator>
  <cp:keywords/>
  <dc:description/>
  <cp:lastModifiedBy>Anubondem Asongacap Mabel</cp:lastModifiedBy>
  <cp:revision>14</cp:revision>
  <dcterms:created xsi:type="dcterms:W3CDTF">2021-02-15T21:24:00Z</dcterms:created>
  <dcterms:modified xsi:type="dcterms:W3CDTF">2021-02-15T21:51:00Z</dcterms:modified>
</cp:coreProperties>
</file>