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D81BB" w14:textId="77777777" w:rsidR="00616C1E" w:rsidRDefault="00616C1E" w:rsidP="002B50E9">
      <w:pPr>
        <w:spacing w:line="480" w:lineRule="auto"/>
        <w:jc w:val="center"/>
        <w:rPr>
          <w:rFonts w:ascii="Times New Roman" w:hAnsi="Times New Roman" w:cs="Times New Roman"/>
          <w:sz w:val="24"/>
          <w:szCs w:val="24"/>
        </w:rPr>
      </w:pPr>
    </w:p>
    <w:p w14:paraId="3885E378" w14:textId="677C233F" w:rsidR="00616C1E" w:rsidRPr="00A80A99" w:rsidRDefault="00616C1E" w:rsidP="002B50E9">
      <w:pPr>
        <w:spacing w:line="480" w:lineRule="auto"/>
        <w:jc w:val="center"/>
        <w:rPr>
          <w:rFonts w:ascii="Times New Roman" w:hAnsi="Times New Roman" w:cs="Times New Roman"/>
          <w:color w:val="FF0000"/>
          <w:sz w:val="24"/>
          <w:szCs w:val="24"/>
        </w:rPr>
      </w:pPr>
      <w:r w:rsidRPr="00A80A99">
        <w:rPr>
          <w:rFonts w:ascii="Times New Roman" w:hAnsi="Times New Roman" w:cs="Times New Roman"/>
          <w:b/>
          <w:bCs/>
          <w:color w:val="FF0000"/>
          <w:sz w:val="24"/>
          <w:szCs w:val="24"/>
        </w:rPr>
        <w:t>EXAMPLAR ONLY</w:t>
      </w:r>
      <w:r w:rsidRPr="00A80A99">
        <w:rPr>
          <w:rFonts w:ascii="Times New Roman" w:hAnsi="Times New Roman" w:cs="Times New Roman"/>
          <w:color w:val="FF0000"/>
          <w:sz w:val="24"/>
          <w:szCs w:val="24"/>
        </w:rPr>
        <w:t xml:space="preserve"> </w:t>
      </w:r>
      <w:r>
        <w:rPr>
          <w:rFonts w:ascii="Times New Roman" w:hAnsi="Times New Roman" w:cs="Times New Roman"/>
          <w:sz w:val="24"/>
          <w:szCs w:val="24"/>
        </w:rPr>
        <w:t xml:space="preserve">– </w:t>
      </w:r>
      <w:r w:rsidRPr="00A80A99">
        <w:rPr>
          <w:rFonts w:ascii="Times New Roman" w:hAnsi="Times New Roman" w:cs="Times New Roman"/>
          <w:color w:val="FF0000"/>
          <w:sz w:val="24"/>
          <w:szCs w:val="24"/>
        </w:rPr>
        <w:t>THIS ASSESSMENT IS NOT REALTED TO ASSESSEMENT ONE IN HAGE 20005. THIS WILL PROVIDE AN EXAMPLE OF HOW TO WRITE AND CONSTRUCT AN ASSESSMENT. PLEASE NOTE GOOD GRAMMAR, SENTENCE STRUCTURE</w:t>
      </w:r>
      <w:r w:rsidR="00A80A99" w:rsidRPr="00A80A99">
        <w:rPr>
          <w:rFonts w:ascii="Times New Roman" w:hAnsi="Times New Roman" w:cs="Times New Roman"/>
          <w:color w:val="FF0000"/>
          <w:sz w:val="24"/>
          <w:szCs w:val="24"/>
        </w:rPr>
        <w:t xml:space="preserve">, CORRECT REFERENCING </w:t>
      </w:r>
      <w:r w:rsidRPr="00A80A99">
        <w:rPr>
          <w:rFonts w:ascii="Times New Roman" w:hAnsi="Times New Roman" w:cs="Times New Roman"/>
          <w:color w:val="FF0000"/>
          <w:sz w:val="24"/>
          <w:szCs w:val="24"/>
        </w:rPr>
        <w:t>AND HOW THE CONTENT ADDRESSED THE QUESTION.</w:t>
      </w:r>
    </w:p>
    <w:p w14:paraId="1C9CF2EB" w14:textId="77777777" w:rsidR="00616C1E" w:rsidRDefault="00616C1E" w:rsidP="002B50E9">
      <w:pPr>
        <w:spacing w:line="480" w:lineRule="auto"/>
        <w:jc w:val="center"/>
        <w:rPr>
          <w:rFonts w:ascii="Times New Roman" w:hAnsi="Times New Roman" w:cs="Times New Roman"/>
          <w:sz w:val="24"/>
          <w:szCs w:val="24"/>
        </w:rPr>
      </w:pPr>
    </w:p>
    <w:p w14:paraId="7918B51C" w14:textId="03743835" w:rsidR="00172E42" w:rsidRDefault="00172E42" w:rsidP="002B50E9">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Unit Code: </w:t>
      </w:r>
    </w:p>
    <w:p w14:paraId="43E8F360" w14:textId="38AC0E63" w:rsidR="00172E42" w:rsidRDefault="00543611" w:rsidP="002B50E9">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Assignment 1: Written Report – Part A </w:t>
      </w:r>
    </w:p>
    <w:p w14:paraId="3BB0B1CC" w14:textId="75319CF4" w:rsidR="00BB79C0" w:rsidRPr="00BB79C0" w:rsidRDefault="00BB79C0" w:rsidP="002B50E9">
      <w:pPr>
        <w:spacing w:line="480" w:lineRule="auto"/>
        <w:jc w:val="center"/>
        <w:rPr>
          <w:rFonts w:ascii="Times New Roman" w:hAnsi="Times New Roman" w:cs="Times New Roman"/>
          <w:i/>
          <w:iCs/>
          <w:sz w:val="24"/>
          <w:szCs w:val="24"/>
        </w:rPr>
      </w:pPr>
      <w:r w:rsidRPr="00BB79C0">
        <w:rPr>
          <w:rFonts w:ascii="Times New Roman" w:hAnsi="Times New Roman" w:cs="Times New Roman"/>
          <w:i/>
          <w:iCs/>
          <w:sz w:val="24"/>
          <w:szCs w:val="24"/>
        </w:rPr>
        <w:t>The Disengagement Theory in relation to an Older Person with Dementia</w:t>
      </w:r>
    </w:p>
    <w:p w14:paraId="5ACD7B9F" w14:textId="2203C0B1" w:rsidR="00172E42" w:rsidRDefault="00172E42" w:rsidP="002B50E9">
      <w:pPr>
        <w:tabs>
          <w:tab w:val="left" w:pos="2130"/>
        </w:tabs>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w:t>
      </w:r>
    </w:p>
    <w:p w14:paraId="180C631F" w14:textId="05041401" w:rsidR="00172E42" w:rsidRDefault="00172E42" w:rsidP="002B50E9">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Student Number: </w:t>
      </w:r>
    </w:p>
    <w:p w14:paraId="2E43665E" w14:textId="08802BB4" w:rsidR="00172E42" w:rsidRDefault="00172E42" w:rsidP="002B50E9">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p>
    <w:p w14:paraId="6ABAF046" w14:textId="38195ADA" w:rsidR="00172E42" w:rsidRDefault="00172E42" w:rsidP="002B50E9">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Due Date: </w:t>
      </w:r>
    </w:p>
    <w:p w14:paraId="4C970F87" w14:textId="3FBF3B75" w:rsidR="00793648" w:rsidRDefault="00172E42" w:rsidP="00BB79C0">
      <w:pPr>
        <w:spacing w:line="480" w:lineRule="auto"/>
        <w:jc w:val="center"/>
        <w:rPr>
          <w:rFonts w:ascii="Times New Roman" w:hAnsi="Times New Roman" w:cs="Times New Roman"/>
          <w:sz w:val="24"/>
          <w:szCs w:val="24"/>
        </w:rPr>
      </w:pPr>
      <w:r>
        <w:rPr>
          <w:rFonts w:ascii="Times New Roman" w:hAnsi="Times New Roman" w:cs="Times New Roman"/>
          <w:sz w:val="24"/>
          <w:szCs w:val="24"/>
        </w:rPr>
        <w:t>Word Count:</w:t>
      </w:r>
      <w:r w:rsidR="00793648">
        <w:rPr>
          <w:rFonts w:ascii="Times New Roman" w:hAnsi="Times New Roman" w:cs="Times New Roman"/>
          <w:sz w:val="24"/>
          <w:szCs w:val="24"/>
        </w:rPr>
        <w:t xml:space="preserve"> </w:t>
      </w:r>
    </w:p>
    <w:p w14:paraId="5A3B846F" w14:textId="77777777" w:rsidR="00172E42" w:rsidRDefault="00172E42" w:rsidP="002B50E9">
      <w:pPr>
        <w:spacing w:line="480" w:lineRule="auto"/>
        <w:jc w:val="center"/>
        <w:rPr>
          <w:rFonts w:ascii="Times New Roman" w:hAnsi="Times New Roman" w:cs="Times New Roman"/>
          <w:sz w:val="24"/>
          <w:szCs w:val="24"/>
        </w:rPr>
      </w:pPr>
      <w:r>
        <w:rPr>
          <w:rFonts w:ascii="Times New Roman" w:hAnsi="Times New Roman" w:cs="Times New Roman"/>
          <w:sz w:val="24"/>
          <w:szCs w:val="24"/>
        </w:rPr>
        <w:t>Unit Coordinator: Ainslie Monson</w:t>
      </w:r>
    </w:p>
    <w:p w14:paraId="385480B9" w14:textId="77777777" w:rsidR="007A539E" w:rsidRDefault="007A539E"/>
    <w:p w14:paraId="1CDB105A" w14:textId="77777777" w:rsidR="00543611" w:rsidRDefault="00543611"/>
    <w:p w14:paraId="1B0F09B1" w14:textId="77777777" w:rsidR="00543611" w:rsidRDefault="00543611"/>
    <w:p w14:paraId="2AF3793C" w14:textId="77777777" w:rsidR="00543611" w:rsidRDefault="00543611"/>
    <w:p w14:paraId="597EB389" w14:textId="77777777" w:rsidR="00543611" w:rsidRDefault="00543611"/>
    <w:p w14:paraId="6CBA6635" w14:textId="77777777" w:rsidR="00543611" w:rsidRDefault="00543611"/>
    <w:p w14:paraId="45EFFE7B" w14:textId="77777777" w:rsidR="00543611" w:rsidRDefault="00543611"/>
    <w:p w14:paraId="16E9DCBF" w14:textId="35FBBEA2" w:rsidR="002B50E9" w:rsidRDefault="00C83A7F" w:rsidP="00B82B78">
      <w:pPr>
        <w:spacing w:line="480" w:lineRule="auto"/>
      </w:pPr>
      <w:r>
        <w:lastRenderedPageBreak/>
        <w:tab/>
      </w:r>
      <w:r>
        <w:tab/>
      </w:r>
      <w:r>
        <w:tab/>
      </w:r>
      <w:r>
        <w:tab/>
      </w:r>
      <w:r>
        <w:tab/>
      </w:r>
      <w:r>
        <w:tab/>
      </w:r>
      <w:r>
        <w:tab/>
      </w:r>
      <w:r>
        <w:tab/>
      </w:r>
      <w:r>
        <w:tab/>
      </w:r>
      <w:r>
        <w:tab/>
      </w:r>
      <w:r>
        <w:tab/>
        <w:t xml:space="preserve">     2</w:t>
      </w:r>
    </w:p>
    <w:p w14:paraId="24C65498" w14:textId="77777777" w:rsidR="002B50E9" w:rsidRDefault="002B50E9" w:rsidP="00B82B78">
      <w:pPr>
        <w:spacing w:line="480" w:lineRule="auto"/>
      </w:pPr>
      <w:r>
        <w:t>Introduction</w:t>
      </w:r>
    </w:p>
    <w:p w14:paraId="67A81073" w14:textId="77777777" w:rsidR="002B50E9" w:rsidRDefault="002B50E9" w:rsidP="00B82B78">
      <w:pPr>
        <w:spacing w:line="480" w:lineRule="auto"/>
      </w:pPr>
      <w:r>
        <w:t xml:space="preserve">This paper is a report to demonstrate the application of the disengagement theory of ageing to a client </w:t>
      </w:r>
      <w:r w:rsidR="00B82B78">
        <w:t>with</w:t>
      </w:r>
      <w:r>
        <w:t xml:space="preserve"> dementia. It will explore and review the literature around the disengagement theory and the significance it has in relation to a chosen person who has dementia. In addition, it will provide knowledge and understanding in the field of dementia and </w:t>
      </w:r>
      <w:r w:rsidR="00BD30FE">
        <w:t>assist comprehension when caring for someone with dementia. The report will use relevant literature and articles pertaining to this topic and give recommendations on benefits for future practice.</w:t>
      </w:r>
    </w:p>
    <w:p w14:paraId="358C05B0" w14:textId="77777777" w:rsidR="00BD30FE" w:rsidRDefault="00BD30FE" w:rsidP="00B82B78">
      <w:pPr>
        <w:spacing w:line="480" w:lineRule="auto"/>
      </w:pPr>
      <w:r>
        <w:t>Main Body</w:t>
      </w:r>
    </w:p>
    <w:p w14:paraId="57C2F8B8" w14:textId="77777777" w:rsidR="00BD30FE" w:rsidRDefault="00BD30FE" w:rsidP="00B82B78">
      <w:pPr>
        <w:spacing w:line="480" w:lineRule="auto"/>
      </w:pPr>
      <w:r>
        <w:t>The World Health Organisation</w:t>
      </w:r>
      <w:r w:rsidR="00611D52">
        <w:t>,</w:t>
      </w:r>
      <w:r w:rsidR="00520473">
        <w:t xml:space="preserve"> (WHO, </w:t>
      </w:r>
      <w:r w:rsidR="00611D52">
        <w:t>2018</w:t>
      </w:r>
      <w:r w:rsidR="00520473">
        <w:t xml:space="preserve">), </w:t>
      </w:r>
      <w:r>
        <w:t>summarises that ageing occurs on many different levels. It highlights the biological changes that can lead to ‘a gradual decrease in physical and mental capacity, a growing risk of disease, and ultimately, death’</w:t>
      </w:r>
      <w:r w:rsidR="000E60F9">
        <w:t xml:space="preserve"> (WHO, 2018). </w:t>
      </w:r>
      <w:r w:rsidR="00520473">
        <w:t>Furthermore the WHO (2018)</w:t>
      </w:r>
      <w:r w:rsidR="000E60F9">
        <w:t xml:space="preserve"> identify that there are many other external factors that can contribute to how people age, however for the purposes of this report, one disease in particular is prevalent in society today. This disease is known as dementia.</w:t>
      </w:r>
      <w:r w:rsidR="00611D52">
        <w:t xml:space="preserve"> Dementia Australia</w:t>
      </w:r>
      <w:r w:rsidR="00520473">
        <w:t xml:space="preserve"> (2020)</w:t>
      </w:r>
      <w:r w:rsidR="00611D52">
        <w:t xml:space="preserve"> define dementia as a ‘collection of symptoms that are caused by disorders affecting the brain’</w:t>
      </w:r>
      <w:r w:rsidR="00D34456">
        <w:t xml:space="preserve">. Dementia </w:t>
      </w:r>
      <w:r w:rsidR="00B82B78">
        <w:t>is more common in people over 65</w:t>
      </w:r>
      <w:r w:rsidR="00D34456">
        <w:t xml:space="preserve"> but is now bei</w:t>
      </w:r>
      <w:r w:rsidR="00B82B78">
        <w:t>ng seen in people in their 30’s, 40’s and 50’s (Dementia Australia</w:t>
      </w:r>
      <w:r w:rsidR="00805D23">
        <w:t>,</w:t>
      </w:r>
      <w:r w:rsidR="00B82B78">
        <w:t xml:space="preserve"> 2016)</w:t>
      </w:r>
      <w:r w:rsidR="00D34456">
        <w:t xml:space="preserve">. </w:t>
      </w:r>
      <w:r w:rsidR="00FA5DC2">
        <w:t xml:space="preserve">The most common dementia is </w:t>
      </w:r>
      <w:r w:rsidR="00D12225">
        <w:t>Alzheimer’s disease</w:t>
      </w:r>
      <w:r w:rsidR="00FA5DC2">
        <w:t>, however all dementia</w:t>
      </w:r>
      <w:r w:rsidR="00272B28">
        <w:t>s</w:t>
      </w:r>
      <w:r w:rsidR="00FA5DC2">
        <w:t xml:space="preserve"> can affect</w:t>
      </w:r>
      <w:r w:rsidR="00D34456">
        <w:t xml:space="preserve"> cognition such as memory and confusion, behaviour</w:t>
      </w:r>
      <w:r w:rsidR="00272B28">
        <w:t xml:space="preserve"> such as personality changes,</w:t>
      </w:r>
      <w:r w:rsidR="00D34456">
        <w:t xml:space="preserve"> withdrawal and apathy</w:t>
      </w:r>
      <w:r w:rsidR="009024FE">
        <w:t xml:space="preserve"> (Dementia Australia 2020)</w:t>
      </w:r>
      <w:r w:rsidR="00520473">
        <w:t>. One important factor about dementia is this disease</w:t>
      </w:r>
      <w:r w:rsidR="00D34456">
        <w:t xml:space="preserve"> affects the ability for people to perform normal daily tasks. (Dementia Australia</w:t>
      </w:r>
      <w:r w:rsidR="002F35C0">
        <w:t>, 2020</w:t>
      </w:r>
      <w:r w:rsidR="00D34456">
        <w:t>).</w:t>
      </w:r>
      <w:r w:rsidR="002F35C0">
        <w:t xml:space="preserve"> Around 50 million people worldwide are diagnosed with dementia (WHO, 2019) and in Australia alone</w:t>
      </w:r>
      <w:r w:rsidR="00D12225">
        <w:t>, dementia has been the second leading cause of death since 2017 and is predicted to affect 550,000 Australians by the year 2030 (Australian Institute of Health and Welfare [AIWA], 2019).</w:t>
      </w:r>
    </w:p>
    <w:p w14:paraId="6DCC8521" w14:textId="77777777" w:rsidR="00C83A7F" w:rsidRDefault="00C83A7F" w:rsidP="00B82B78">
      <w:pPr>
        <w:spacing w:line="480" w:lineRule="auto"/>
      </w:pPr>
      <w:r>
        <w:lastRenderedPageBreak/>
        <w:tab/>
      </w:r>
      <w:r>
        <w:tab/>
      </w:r>
      <w:r>
        <w:tab/>
      </w:r>
      <w:r>
        <w:tab/>
      </w:r>
      <w:r>
        <w:tab/>
      </w:r>
      <w:r>
        <w:tab/>
      </w:r>
      <w:r>
        <w:tab/>
      </w:r>
      <w:r>
        <w:tab/>
      </w:r>
      <w:r>
        <w:tab/>
      </w:r>
      <w:r>
        <w:tab/>
      </w:r>
      <w:r>
        <w:tab/>
      </w:r>
      <w:r>
        <w:tab/>
        <w:t xml:space="preserve">     3</w:t>
      </w:r>
    </w:p>
    <w:p w14:paraId="5A1C3E78" w14:textId="77777777" w:rsidR="00611D52" w:rsidRDefault="008444AC" w:rsidP="00B82B78">
      <w:pPr>
        <w:spacing w:line="480" w:lineRule="auto"/>
      </w:pPr>
      <w:r>
        <w:t xml:space="preserve">Psychosocial theories of ageing </w:t>
      </w:r>
      <w:r w:rsidR="00ED79B6">
        <w:t>are there to assist us to understand ‘human development and ageing in terms of in</w:t>
      </w:r>
      <w:r w:rsidR="00805D23">
        <w:t>dividual changes’ (</w:t>
      </w:r>
      <w:proofErr w:type="spellStart"/>
      <w:r w:rsidR="00805D23">
        <w:t>Wadensten</w:t>
      </w:r>
      <w:proofErr w:type="spellEnd"/>
      <w:r w:rsidR="00805D23">
        <w:t>,</w:t>
      </w:r>
      <w:r w:rsidR="00ED79B6">
        <w:t xml:space="preserve"> 2006). For the purpose of this report, the disengagement theory of ageing will be applied to a client with dementia. The disengage</w:t>
      </w:r>
      <w:r w:rsidR="00100AED">
        <w:t xml:space="preserve">ment theory of ageing was developed by Elaine Cumming and William Henry in 1961. The theory </w:t>
      </w:r>
      <w:r w:rsidR="00D160F5">
        <w:t>posits</w:t>
      </w:r>
      <w:r w:rsidR="00100AED">
        <w:t xml:space="preserve"> the idea that when people grow older, it is inevitable that they voluntarily begin to disengage in the world around them and the relationships they have</w:t>
      </w:r>
      <w:r w:rsidR="00520473">
        <w:t xml:space="preserve"> (Cumming &amp;</w:t>
      </w:r>
      <w:r w:rsidR="00F07A02">
        <w:t xml:space="preserve"> Henry, 1962</w:t>
      </w:r>
      <w:r w:rsidR="00D160F5">
        <w:t>). It is believed that this is a mutual withdrawal</w:t>
      </w:r>
      <w:r w:rsidR="001153BA">
        <w:t xml:space="preserve"> with society disengaging from the individual and vice versa which</w:t>
      </w:r>
      <w:r w:rsidR="00D160F5">
        <w:t xml:space="preserve"> results in decreased </w:t>
      </w:r>
      <w:r w:rsidR="001153BA">
        <w:t xml:space="preserve">social interactions with others (Cumming, Dean, Newall &amp; McCafferty, 1960). This theory has been chosen in this report as it is evident that those who are diagnosed with dementia </w:t>
      </w:r>
      <w:r w:rsidR="00F07A02">
        <w:t>in clinical practice have been</w:t>
      </w:r>
      <w:r w:rsidR="001153BA">
        <w:t xml:space="preserve"> witnessed to display the characteristics and behaviour of disengagement. </w:t>
      </w:r>
    </w:p>
    <w:p w14:paraId="089568A0" w14:textId="77777777" w:rsidR="00934253" w:rsidRDefault="00934253" w:rsidP="00B82B78">
      <w:pPr>
        <w:spacing w:line="480" w:lineRule="auto"/>
      </w:pPr>
      <w:r>
        <w:t>Alzheimer’s Australia</w:t>
      </w:r>
      <w:r w:rsidR="00520473">
        <w:t xml:space="preserve"> (2017)</w:t>
      </w:r>
      <w:r>
        <w:t xml:space="preserve"> produced a stigma report where they identified that stigma towards people with dementia in today’s society is still prevalent (Alzheimer’s Australia, 2017). In the report it was evident that people suffering from dementia feel impacted by stigma and this causes feelings of incompetency</w:t>
      </w:r>
      <w:r w:rsidR="00D63018">
        <w:t xml:space="preserve">, being separate from others and that people are uncomfortable around them (Alzheimer’s Australia, 2017). This instigates that stigma can cause people with dementia to avoid </w:t>
      </w:r>
      <w:r w:rsidR="00275211">
        <w:t>others</w:t>
      </w:r>
      <w:r w:rsidR="00D63018">
        <w:t xml:space="preserve"> due to actual or perceived </w:t>
      </w:r>
      <w:r w:rsidR="00D00F02">
        <w:t xml:space="preserve">internal stigmatisation. In line with the theory of disengagement, this supports the theory that people </w:t>
      </w:r>
      <w:r w:rsidR="00275211">
        <w:t>may no longer be seen as individuals</w:t>
      </w:r>
      <w:r w:rsidR="00D00F02">
        <w:t xml:space="preserve"> who contribute or benefit society and so begins the exclusion process and separation from society.</w:t>
      </w:r>
    </w:p>
    <w:p w14:paraId="66DB6C3C" w14:textId="77777777" w:rsidR="00C83A7F" w:rsidRDefault="008F35BF" w:rsidP="00B82B78">
      <w:pPr>
        <w:spacing w:line="480" w:lineRule="auto"/>
      </w:pPr>
      <w:r>
        <w:t xml:space="preserve">In 2015, Kate </w:t>
      </w:r>
      <w:proofErr w:type="spellStart"/>
      <w:r>
        <w:t>Swaffer</w:t>
      </w:r>
      <w:proofErr w:type="spellEnd"/>
      <w:r>
        <w:t xml:space="preserve"> coined the term ‘prescribed disengagement’ following her own earl</w:t>
      </w:r>
      <w:r w:rsidR="00520473">
        <w:t xml:space="preserve">y onset diagnosis of dementia. </w:t>
      </w:r>
      <w:proofErr w:type="spellStart"/>
      <w:r w:rsidR="00520473">
        <w:t>Swaffer</w:t>
      </w:r>
      <w:proofErr w:type="spellEnd"/>
      <w:r w:rsidR="00520473">
        <w:t xml:space="preserve"> (2015) claims s</w:t>
      </w:r>
      <w:r>
        <w:t>he was subject to negativity around the diagnosis with advice from health professionals to prepare for end of life which she believes sets people up to live without hope and in fear of what the future holds</w:t>
      </w:r>
      <w:r w:rsidR="00414AEF">
        <w:t xml:space="preserve"> (</w:t>
      </w:r>
      <w:proofErr w:type="spellStart"/>
      <w:r w:rsidR="00805D23">
        <w:t>Swaffer</w:t>
      </w:r>
      <w:proofErr w:type="spellEnd"/>
      <w:r w:rsidR="00805D23">
        <w:t xml:space="preserve">, </w:t>
      </w:r>
      <w:r w:rsidR="00F83A37">
        <w:t>2015)</w:t>
      </w:r>
      <w:r>
        <w:t>. Further research was conducted on ‘prescribed disengagement’ that showed people struggled with</w:t>
      </w:r>
      <w:r w:rsidR="00414AEF">
        <w:t xml:space="preserve"> independence and stigma </w:t>
      </w:r>
      <w:r w:rsidR="00F83A37">
        <w:t xml:space="preserve">post </w:t>
      </w:r>
    </w:p>
    <w:p w14:paraId="0AD416C9" w14:textId="77777777" w:rsidR="00C83A7F" w:rsidRDefault="00C83A7F" w:rsidP="00B82B78">
      <w:pPr>
        <w:spacing w:line="480" w:lineRule="auto"/>
      </w:pPr>
    </w:p>
    <w:p w14:paraId="057AE075" w14:textId="77777777" w:rsidR="00C83A7F" w:rsidRDefault="00C83A7F" w:rsidP="00B82B78">
      <w:pPr>
        <w:spacing w:line="480" w:lineRule="auto"/>
      </w:pPr>
      <w:r>
        <w:lastRenderedPageBreak/>
        <w:tab/>
      </w:r>
      <w:r>
        <w:tab/>
      </w:r>
      <w:r>
        <w:tab/>
      </w:r>
      <w:r>
        <w:tab/>
      </w:r>
      <w:r>
        <w:tab/>
      </w:r>
      <w:r>
        <w:tab/>
      </w:r>
      <w:r>
        <w:tab/>
      </w:r>
      <w:r>
        <w:tab/>
      </w:r>
      <w:r>
        <w:tab/>
      </w:r>
      <w:r>
        <w:tab/>
      </w:r>
      <w:r>
        <w:tab/>
      </w:r>
      <w:r>
        <w:tab/>
        <w:t xml:space="preserve">     4</w:t>
      </w:r>
    </w:p>
    <w:p w14:paraId="5601AE43" w14:textId="77777777" w:rsidR="00373A4E" w:rsidRDefault="00F83A37" w:rsidP="00B82B78">
      <w:pPr>
        <w:spacing w:line="480" w:lineRule="auto"/>
      </w:pPr>
      <w:r>
        <w:t xml:space="preserve">diagnosis of dementia, which may have </w:t>
      </w:r>
      <w:r w:rsidR="008F2C9A">
        <w:t>a detrimental effect on their ability to be positive and cope in society</w:t>
      </w:r>
      <w:r w:rsidR="00805D23">
        <w:t xml:space="preserve"> (</w:t>
      </w:r>
      <w:proofErr w:type="spellStart"/>
      <w:r w:rsidR="00805D23">
        <w:t>Swaffer</w:t>
      </w:r>
      <w:proofErr w:type="spellEnd"/>
      <w:r w:rsidR="00805D23">
        <w:t>,</w:t>
      </w:r>
      <w:r w:rsidR="00D71190">
        <w:t xml:space="preserve"> 2015).</w:t>
      </w:r>
    </w:p>
    <w:p w14:paraId="19871E4D" w14:textId="77777777" w:rsidR="00D71190" w:rsidRDefault="009024FE" w:rsidP="00B82B78">
      <w:pPr>
        <w:spacing w:line="480" w:lineRule="auto"/>
        <w:rPr>
          <w:rFonts w:cstheme="minorHAnsi"/>
        </w:rPr>
      </w:pPr>
      <w:r>
        <w:rPr>
          <w:rFonts w:cstheme="minorHAnsi"/>
          <w:color w:val="000000" w:themeColor="text1"/>
        </w:rPr>
        <w:t xml:space="preserve">Apathy </w:t>
      </w:r>
      <w:r w:rsidR="00D71190" w:rsidRPr="00373A4E">
        <w:rPr>
          <w:rFonts w:cstheme="minorHAnsi"/>
          <w:color w:val="000000" w:themeColor="text1"/>
        </w:rPr>
        <w:t>affects o</w:t>
      </w:r>
      <w:r>
        <w:rPr>
          <w:rFonts w:cstheme="minorHAnsi"/>
          <w:color w:val="000000" w:themeColor="text1"/>
        </w:rPr>
        <w:t>ver 70% of people with dementia</w:t>
      </w:r>
      <w:r w:rsidR="00D71190" w:rsidRPr="00373A4E">
        <w:rPr>
          <w:rFonts w:cstheme="minorHAnsi"/>
          <w:color w:val="000000" w:themeColor="text1"/>
        </w:rPr>
        <w:t xml:space="preserve"> and can often be under recognised </w:t>
      </w:r>
      <w:r w:rsidR="00373A4E">
        <w:rPr>
          <w:rFonts w:cstheme="minorHAnsi"/>
          <w:color w:val="000000" w:themeColor="text1"/>
        </w:rPr>
        <w:t>(</w:t>
      </w:r>
      <w:r w:rsidR="00805D23">
        <w:rPr>
          <w:rFonts w:eastAsia="Times New Roman" w:cstheme="minorHAnsi"/>
          <w:bCs/>
          <w:lang w:eastAsia="en-AU"/>
        </w:rPr>
        <w:t>Cipriani,</w:t>
      </w:r>
      <w:r w:rsidR="00373A4E" w:rsidRPr="00373A4E">
        <w:rPr>
          <w:rFonts w:eastAsia="Times New Roman" w:cstheme="minorHAnsi"/>
          <w:bCs/>
          <w:lang w:eastAsia="en-AU"/>
        </w:rPr>
        <w:t xml:space="preserve"> </w:t>
      </w:r>
      <w:proofErr w:type="spellStart"/>
      <w:r w:rsidR="00373A4E" w:rsidRPr="00373A4E">
        <w:rPr>
          <w:rFonts w:eastAsia="Times New Roman" w:cstheme="minorHAnsi"/>
          <w:bCs/>
          <w:lang w:eastAsia="en-AU"/>
        </w:rPr>
        <w:t>Lucetti</w:t>
      </w:r>
      <w:proofErr w:type="spellEnd"/>
      <w:r w:rsidR="00373A4E" w:rsidRPr="00373A4E">
        <w:rPr>
          <w:rFonts w:eastAsia="Times New Roman" w:cstheme="minorHAnsi"/>
          <w:bCs/>
          <w:lang w:eastAsia="en-AU"/>
        </w:rPr>
        <w:t xml:space="preserve">, </w:t>
      </w:r>
      <w:proofErr w:type="spellStart"/>
      <w:r w:rsidR="00373A4E" w:rsidRPr="00373A4E">
        <w:rPr>
          <w:rFonts w:eastAsia="Times New Roman" w:cstheme="minorHAnsi"/>
          <w:bCs/>
          <w:lang w:eastAsia="en-AU"/>
        </w:rPr>
        <w:t>Danti</w:t>
      </w:r>
      <w:proofErr w:type="spellEnd"/>
      <w:r w:rsidR="00373A4E" w:rsidRPr="00373A4E">
        <w:rPr>
          <w:rFonts w:eastAsia="Times New Roman" w:cstheme="minorHAnsi"/>
          <w:bCs/>
          <w:lang w:eastAsia="en-AU"/>
        </w:rPr>
        <w:t xml:space="preserve">, &amp; </w:t>
      </w:r>
      <w:proofErr w:type="spellStart"/>
      <w:r w:rsidR="00373A4E" w:rsidRPr="00373A4E">
        <w:rPr>
          <w:rFonts w:eastAsia="Times New Roman" w:cstheme="minorHAnsi"/>
          <w:bCs/>
          <w:lang w:eastAsia="en-AU"/>
        </w:rPr>
        <w:t>Nuti</w:t>
      </w:r>
      <w:proofErr w:type="spellEnd"/>
      <w:r w:rsidR="00373A4E" w:rsidRPr="00373A4E">
        <w:rPr>
          <w:rFonts w:eastAsia="Times New Roman" w:cstheme="minorHAnsi"/>
          <w:bCs/>
          <w:lang w:eastAsia="en-AU"/>
        </w:rPr>
        <w:t>, 2014)</w:t>
      </w:r>
      <w:r w:rsidR="00373A4E">
        <w:rPr>
          <w:rFonts w:eastAsia="Times New Roman" w:cstheme="minorHAnsi"/>
          <w:bCs/>
          <w:lang w:eastAsia="en-AU"/>
        </w:rPr>
        <w:t>.</w:t>
      </w:r>
      <w:r w:rsidR="00373A4E" w:rsidRPr="00373A4E">
        <w:rPr>
          <w:rFonts w:cstheme="minorHAnsi"/>
        </w:rPr>
        <w:t xml:space="preserve"> </w:t>
      </w:r>
      <w:r w:rsidR="00D71190" w:rsidRPr="00373A4E">
        <w:rPr>
          <w:rFonts w:cstheme="minorHAnsi"/>
        </w:rPr>
        <w:t>Symptoms such a</w:t>
      </w:r>
      <w:r>
        <w:rPr>
          <w:rFonts w:cstheme="minorHAnsi"/>
        </w:rPr>
        <w:t>s withdrawal and apathy are</w:t>
      </w:r>
      <w:r w:rsidR="00D71190" w:rsidRPr="00373A4E">
        <w:rPr>
          <w:rFonts w:cstheme="minorHAnsi"/>
        </w:rPr>
        <w:t xml:space="preserve"> prominent in people who suffer from dementia and these symptoms can lead to disengagement from society which can have a significant effect on healthcare and cause avoidance of activities and rehabilitation (Honda, Meguro, Meguro, </w:t>
      </w:r>
      <w:proofErr w:type="spellStart"/>
      <w:r w:rsidR="00D71190" w:rsidRPr="00373A4E">
        <w:rPr>
          <w:rFonts w:cstheme="minorHAnsi"/>
        </w:rPr>
        <w:t>Akanuma</w:t>
      </w:r>
      <w:proofErr w:type="spellEnd"/>
      <w:r w:rsidR="00D71190" w:rsidRPr="00373A4E">
        <w:rPr>
          <w:rFonts w:cstheme="minorHAnsi"/>
        </w:rPr>
        <w:t>, 2013).</w:t>
      </w:r>
      <w:r w:rsidR="00520473">
        <w:rPr>
          <w:rFonts w:cstheme="minorHAnsi"/>
        </w:rPr>
        <w:t xml:space="preserve"> Apathy</w:t>
      </w:r>
      <w:r w:rsidR="00373A4E">
        <w:rPr>
          <w:rFonts w:cstheme="minorHAnsi"/>
        </w:rPr>
        <w:t xml:space="preserve"> is associated with functional impairment and presents as a loss of motivation to perform activities of daily living and to engage in meaningful activities (Cipriani et al</w:t>
      </w:r>
      <w:r w:rsidR="00805D23">
        <w:rPr>
          <w:rFonts w:cstheme="minorHAnsi"/>
        </w:rPr>
        <w:t>.</w:t>
      </w:r>
      <w:r w:rsidR="00373A4E">
        <w:rPr>
          <w:rFonts w:cstheme="minorHAnsi"/>
        </w:rPr>
        <w:t>, 2014). There is some evidence that therapeutic activities can improve apathy</w:t>
      </w:r>
      <w:r w:rsidR="00E75B99">
        <w:rPr>
          <w:rFonts w:cstheme="minorHAnsi"/>
        </w:rPr>
        <w:t xml:space="preserve"> but that they are most effective in people with mild to moderate dementia (Cipriani et al</w:t>
      </w:r>
      <w:r w:rsidR="00805D23">
        <w:rPr>
          <w:rFonts w:cstheme="minorHAnsi"/>
        </w:rPr>
        <w:t>.</w:t>
      </w:r>
      <w:r w:rsidR="00E75B99">
        <w:rPr>
          <w:rFonts w:cstheme="minorHAnsi"/>
        </w:rPr>
        <w:t>, 2014).</w:t>
      </w:r>
    </w:p>
    <w:p w14:paraId="6FA24144" w14:textId="77777777" w:rsidR="00C83A7F" w:rsidRDefault="00C83A7F" w:rsidP="00B82B78">
      <w:pPr>
        <w:spacing w:line="480" w:lineRule="auto"/>
        <w:rPr>
          <w:rFonts w:cstheme="minorHAnsi"/>
        </w:rPr>
      </w:pPr>
      <w:r>
        <w:rPr>
          <w:rFonts w:cstheme="minorHAnsi"/>
        </w:rPr>
        <w:t>Recommendations</w:t>
      </w:r>
    </w:p>
    <w:p w14:paraId="3EAED0FA" w14:textId="77777777" w:rsidR="00C83A7F" w:rsidRDefault="00E75B99" w:rsidP="00B82B78">
      <w:pPr>
        <w:spacing w:line="480" w:lineRule="auto"/>
        <w:rPr>
          <w:rFonts w:cstheme="minorHAnsi"/>
        </w:rPr>
      </w:pPr>
      <w:r>
        <w:rPr>
          <w:rFonts w:cstheme="minorHAnsi"/>
        </w:rPr>
        <w:t>This report shows that disengagement and dementia are intrinsically linked. This is significant as it reflects that many people with dementia feel stigma from society an</w:t>
      </w:r>
      <w:r w:rsidR="00520473">
        <w:rPr>
          <w:rFonts w:cstheme="minorHAnsi"/>
        </w:rPr>
        <w:t>d from health professionals post diagnoses</w:t>
      </w:r>
      <w:r>
        <w:rPr>
          <w:rFonts w:cstheme="minorHAnsi"/>
        </w:rPr>
        <w:t>. There is still a negat</w:t>
      </w:r>
      <w:r w:rsidR="00357525">
        <w:rPr>
          <w:rFonts w:cstheme="minorHAnsi"/>
        </w:rPr>
        <w:t>ive view of dementia in Australia and it is believed that people with dementia can be irritating and cannot hold meaningful conversations (</w:t>
      </w:r>
      <w:r w:rsidR="00357525" w:rsidRPr="00357525">
        <w:rPr>
          <w:rFonts w:cstheme="minorHAnsi"/>
        </w:rPr>
        <w:t>P</w:t>
      </w:r>
      <w:r w:rsidR="003C6101">
        <w:rPr>
          <w:rFonts w:cstheme="minorHAnsi"/>
        </w:rPr>
        <w:t>hillipson</w:t>
      </w:r>
      <w:r w:rsidR="00357525" w:rsidRPr="00357525">
        <w:rPr>
          <w:rFonts w:cstheme="minorHAnsi"/>
        </w:rPr>
        <w:t xml:space="preserve">, </w:t>
      </w:r>
      <w:r w:rsidR="003C6101">
        <w:rPr>
          <w:rFonts w:cstheme="minorHAnsi"/>
        </w:rPr>
        <w:t>Magee</w:t>
      </w:r>
      <w:r w:rsidR="00357525" w:rsidRPr="00357525">
        <w:rPr>
          <w:rFonts w:cstheme="minorHAnsi"/>
        </w:rPr>
        <w:t xml:space="preserve">, </w:t>
      </w:r>
      <w:r w:rsidR="003C6101">
        <w:rPr>
          <w:rFonts w:cstheme="minorHAnsi"/>
        </w:rPr>
        <w:t>Jones</w:t>
      </w:r>
      <w:r w:rsidR="00357525" w:rsidRPr="00357525">
        <w:rPr>
          <w:rFonts w:cstheme="minorHAnsi"/>
        </w:rPr>
        <w:t xml:space="preserve">, </w:t>
      </w:r>
      <w:r w:rsidR="00357525">
        <w:rPr>
          <w:rFonts w:cstheme="minorHAnsi"/>
        </w:rPr>
        <w:t xml:space="preserve">&amp; </w:t>
      </w:r>
      <w:proofErr w:type="spellStart"/>
      <w:r w:rsidR="003C6101">
        <w:rPr>
          <w:rFonts w:cstheme="minorHAnsi"/>
        </w:rPr>
        <w:t>Skladzien</w:t>
      </w:r>
      <w:proofErr w:type="spellEnd"/>
      <w:r w:rsidR="00357525">
        <w:rPr>
          <w:rFonts w:cstheme="minorHAnsi"/>
        </w:rPr>
        <w:t>, 2012)</w:t>
      </w:r>
      <w:r w:rsidR="00BD34BD">
        <w:rPr>
          <w:rFonts w:cstheme="minorHAnsi"/>
        </w:rPr>
        <w:t>.</w:t>
      </w:r>
      <w:r w:rsidR="00A357E8">
        <w:rPr>
          <w:rFonts w:cstheme="minorHAnsi"/>
        </w:rPr>
        <w:t xml:space="preserve"> De stigmatising dementia and providing more education can encourage </w:t>
      </w:r>
      <w:r w:rsidR="0067111E">
        <w:rPr>
          <w:rFonts w:cstheme="minorHAnsi"/>
        </w:rPr>
        <w:t>health professionals</w:t>
      </w:r>
      <w:r w:rsidR="009024FE">
        <w:rPr>
          <w:rFonts w:cstheme="minorHAnsi"/>
        </w:rPr>
        <w:t xml:space="preserve"> to acknowledge</w:t>
      </w:r>
      <w:r w:rsidR="00A357E8">
        <w:rPr>
          <w:rFonts w:cstheme="minorHAnsi"/>
        </w:rPr>
        <w:t xml:space="preserve"> that dementia does not define a person</w:t>
      </w:r>
      <w:r w:rsidR="0067111E">
        <w:rPr>
          <w:rFonts w:cstheme="minorHAnsi"/>
        </w:rPr>
        <w:t>. T</w:t>
      </w:r>
      <w:r w:rsidR="00A357E8">
        <w:rPr>
          <w:rFonts w:cstheme="minorHAnsi"/>
        </w:rPr>
        <w:t>here are still positive</w:t>
      </w:r>
      <w:r w:rsidR="0067111E">
        <w:rPr>
          <w:rFonts w:cstheme="minorHAnsi"/>
        </w:rPr>
        <w:t xml:space="preserve"> aspects post diagnosis such as people with dementia are able to engage in meaningful activities and their company can be enjoyable (Phillipson et al</w:t>
      </w:r>
      <w:r w:rsidR="00805D23">
        <w:rPr>
          <w:rFonts w:cstheme="minorHAnsi"/>
        </w:rPr>
        <w:t>.</w:t>
      </w:r>
      <w:r w:rsidR="005E145E">
        <w:rPr>
          <w:rFonts w:cstheme="minorHAnsi"/>
        </w:rPr>
        <w:t>, 2012</w:t>
      </w:r>
      <w:r w:rsidR="0067111E">
        <w:rPr>
          <w:rFonts w:cstheme="minorHAnsi"/>
        </w:rPr>
        <w:t>).</w:t>
      </w:r>
      <w:r w:rsidR="00BD34BD">
        <w:rPr>
          <w:rFonts w:cstheme="minorHAnsi"/>
        </w:rPr>
        <w:t xml:space="preserve"> Symptoms of dementia can also cause unintentional disengagement and withdrawal from society</w:t>
      </w:r>
      <w:r w:rsidR="0067111E">
        <w:rPr>
          <w:rFonts w:cstheme="minorHAnsi"/>
        </w:rPr>
        <w:t xml:space="preserve"> (Honda et al</w:t>
      </w:r>
      <w:r w:rsidR="00805D23">
        <w:rPr>
          <w:rFonts w:cstheme="minorHAnsi"/>
        </w:rPr>
        <w:t>.</w:t>
      </w:r>
      <w:r w:rsidR="005E145E">
        <w:rPr>
          <w:rFonts w:cstheme="minorHAnsi"/>
        </w:rPr>
        <w:t>, 2013</w:t>
      </w:r>
      <w:r w:rsidR="0067111E">
        <w:rPr>
          <w:rFonts w:cstheme="minorHAnsi"/>
        </w:rPr>
        <w:t xml:space="preserve">). </w:t>
      </w:r>
      <w:r w:rsidR="009551D9">
        <w:rPr>
          <w:rFonts w:cstheme="minorHAnsi"/>
        </w:rPr>
        <w:t>Apathy is often not recognised by health professionals and if not treated can cause faster functional decline (</w:t>
      </w:r>
      <w:proofErr w:type="spellStart"/>
      <w:r w:rsidR="009551D9">
        <w:rPr>
          <w:rFonts w:cstheme="minorHAnsi"/>
        </w:rPr>
        <w:t>Beuttner</w:t>
      </w:r>
      <w:proofErr w:type="spellEnd"/>
      <w:r w:rsidR="005E145E">
        <w:rPr>
          <w:rFonts w:cstheme="minorHAnsi"/>
        </w:rPr>
        <w:t xml:space="preserve">, Fitzsimmons, </w:t>
      </w:r>
      <w:proofErr w:type="spellStart"/>
      <w:r w:rsidR="005E145E">
        <w:rPr>
          <w:rFonts w:cstheme="minorHAnsi"/>
        </w:rPr>
        <w:t>Atav</w:t>
      </w:r>
      <w:proofErr w:type="spellEnd"/>
      <w:r w:rsidR="005E145E">
        <w:rPr>
          <w:rFonts w:cstheme="minorHAnsi"/>
        </w:rPr>
        <w:t xml:space="preserve"> &amp; Sink, 2011</w:t>
      </w:r>
      <w:r w:rsidR="009551D9">
        <w:rPr>
          <w:rFonts w:cstheme="minorHAnsi"/>
        </w:rPr>
        <w:t xml:space="preserve">). </w:t>
      </w:r>
      <w:r w:rsidR="0067111E">
        <w:rPr>
          <w:rFonts w:cstheme="minorHAnsi"/>
        </w:rPr>
        <w:t>H</w:t>
      </w:r>
      <w:r w:rsidR="00A357E8">
        <w:rPr>
          <w:rFonts w:cstheme="minorHAnsi"/>
        </w:rPr>
        <w:t xml:space="preserve">aving an awareness of this can assist health professionals to understand why disengagement occurs and this highlights the </w:t>
      </w:r>
      <w:r w:rsidR="0067111E">
        <w:rPr>
          <w:rFonts w:cstheme="minorHAnsi"/>
        </w:rPr>
        <w:t>benefits</w:t>
      </w:r>
      <w:r w:rsidR="00A357E8">
        <w:rPr>
          <w:rFonts w:cstheme="minorHAnsi"/>
        </w:rPr>
        <w:t xml:space="preserve"> for early intervention </w:t>
      </w:r>
      <w:r w:rsidR="009551D9">
        <w:rPr>
          <w:rFonts w:cstheme="minorHAnsi"/>
        </w:rPr>
        <w:t xml:space="preserve">and </w:t>
      </w:r>
    </w:p>
    <w:p w14:paraId="5393E9A6" w14:textId="77777777" w:rsidR="00C83A7F" w:rsidRDefault="00C83A7F" w:rsidP="00B82B78">
      <w:pPr>
        <w:spacing w:line="480" w:lineRule="auto"/>
        <w:rPr>
          <w:rFonts w:cstheme="minorHAnsi"/>
        </w:rPr>
      </w:pPr>
      <w:r>
        <w:rPr>
          <w:rFonts w:cstheme="minorHAnsi"/>
        </w:rPr>
        <w:lastRenderedPageBreak/>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5 </w:t>
      </w:r>
    </w:p>
    <w:p w14:paraId="6C77758B" w14:textId="77777777" w:rsidR="00C83A7F" w:rsidRDefault="009551D9" w:rsidP="00B82B78">
      <w:pPr>
        <w:spacing w:line="480" w:lineRule="auto"/>
        <w:rPr>
          <w:rFonts w:cstheme="minorHAnsi"/>
        </w:rPr>
      </w:pPr>
      <w:r>
        <w:rPr>
          <w:rFonts w:cstheme="minorHAnsi"/>
        </w:rPr>
        <w:t>how early mental stimulation and activities could significantly alter the course of the illness (</w:t>
      </w:r>
      <w:proofErr w:type="spellStart"/>
      <w:r>
        <w:rPr>
          <w:rFonts w:cstheme="minorHAnsi"/>
        </w:rPr>
        <w:t>Beuttner</w:t>
      </w:r>
      <w:proofErr w:type="spellEnd"/>
      <w:r>
        <w:rPr>
          <w:rFonts w:cstheme="minorHAnsi"/>
        </w:rPr>
        <w:t xml:space="preserve"> et al.</w:t>
      </w:r>
      <w:r w:rsidR="00805D23">
        <w:rPr>
          <w:rFonts w:cstheme="minorHAnsi"/>
        </w:rPr>
        <w:t>,</w:t>
      </w:r>
      <w:r w:rsidR="005E145E">
        <w:rPr>
          <w:rFonts w:cstheme="minorHAnsi"/>
        </w:rPr>
        <w:t xml:space="preserve"> 2011</w:t>
      </w:r>
      <w:r>
        <w:rPr>
          <w:rFonts w:cstheme="minorHAnsi"/>
        </w:rPr>
        <w:t>).</w:t>
      </w:r>
      <w:r w:rsidR="00C83A7F">
        <w:rPr>
          <w:rFonts w:cstheme="minorHAnsi"/>
        </w:rPr>
        <w:tab/>
      </w:r>
      <w:r w:rsidR="00C83A7F">
        <w:rPr>
          <w:rFonts w:cstheme="minorHAnsi"/>
        </w:rPr>
        <w:tab/>
      </w:r>
      <w:r w:rsidR="00C83A7F">
        <w:rPr>
          <w:rFonts w:cstheme="minorHAnsi"/>
        </w:rPr>
        <w:tab/>
      </w:r>
      <w:r w:rsidR="00C83A7F">
        <w:rPr>
          <w:rFonts w:cstheme="minorHAnsi"/>
        </w:rPr>
        <w:tab/>
      </w:r>
      <w:r w:rsidR="00C83A7F">
        <w:rPr>
          <w:rFonts w:cstheme="minorHAnsi"/>
        </w:rPr>
        <w:tab/>
      </w:r>
      <w:r w:rsidR="00C83A7F">
        <w:rPr>
          <w:rFonts w:cstheme="minorHAnsi"/>
        </w:rPr>
        <w:tab/>
      </w:r>
      <w:r w:rsidR="00C83A7F">
        <w:rPr>
          <w:rFonts w:cstheme="minorHAnsi"/>
        </w:rPr>
        <w:tab/>
      </w:r>
      <w:r w:rsidR="00C83A7F">
        <w:rPr>
          <w:rFonts w:cstheme="minorHAnsi"/>
        </w:rPr>
        <w:tab/>
      </w:r>
      <w:r w:rsidR="00C83A7F">
        <w:rPr>
          <w:rFonts w:cstheme="minorHAnsi"/>
        </w:rPr>
        <w:tab/>
      </w:r>
    </w:p>
    <w:p w14:paraId="3DE55972" w14:textId="77777777" w:rsidR="009551D9" w:rsidRDefault="009551D9" w:rsidP="00B82B78">
      <w:pPr>
        <w:spacing w:line="480" w:lineRule="auto"/>
        <w:rPr>
          <w:rFonts w:cstheme="minorHAnsi"/>
        </w:rPr>
      </w:pPr>
      <w:r>
        <w:rPr>
          <w:rFonts w:cstheme="minorHAnsi"/>
        </w:rPr>
        <w:t>Conclusion</w:t>
      </w:r>
    </w:p>
    <w:p w14:paraId="22A53F4F" w14:textId="77777777" w:rsidR="009551D9" w:rsidRPr="00357525" w:rsidRDefault="009551D9" w:rsidP="00B82B78">
      <w:pPr>
        <w:spacing w:line="480" w:lineRule="auto"/>
        <w:rPr>
          <w:rFonts w:cstheme="minorHAnsi"/>
        </w:rPr>
      </w:pPr>
      <w:r>
        <w:rPr>
          <w:rFonts w:cstheme="minorHAnsi"/>
        </w:rPr>
        <w:t>The disengagement theory of ageing is relevant to a</w:t>
      </w:r>
      <w:r w:rsidR="00520473">
        <w:rPr>
          <w:rFonts w:cstheme="minorHAnsi"/>
        </w:rPr>
        <w:t xml:space="preserve"> significant</w:t>
      </w:r>
      <w:r>
        <w:rPr>
          <w:rFonts w:cstheme="minorHAnsi"/>
        </w:rPr>
        <w:t xml:space="preserve"> number of people who suffer from dementia and the disengagement can be both intentional and unintentional</w:t>
      </w:r>
      <w:r w:rsidR="00F9358A">
        <w:rPr>
          <w:rFonts w:cstheme="minorHAnsi"/>
        </w:rPr>
        <w:t xml:space="preserve">. People can voluntarily disengage with the world around them due to the perception of stigma held by others and the internal stigma of how they feel about themselves. Society can also be seen to be disengaging with </w:t>
      </w:r>
      <w:r w:rsidR="00520473">
        <w:rPr>
          <w:rFonts w:cstheme="minorHAnsi"/>
        </w:rPr>
        <w:t>people with dementia</w:t>
      </w:r>
      <w:r w:rsidR="00F9358A">
        <w:rPr>
          <w:rFonts w:cstheme="minorHAnsi"/>
        </w:rPr>
        <w:t xml:space="preserve"> due to lack of understanding and preconceived ideas. Disengagement can also happen unintentionally through symptoms of the disease that cause withdrawal and apathy and can lead to social isolation. Dementia is on the rise and although it is evident that disengagement occurs, it may be able to be prevented. Increased education for health professionals, tackling stigma within the general public and more emphasis on early intervention and therapeutic measures are what is needed to guide this</w:t>
      </w:r>
      <w:r w:rsidR="009024FE">
        <w:rPr>
          <w:rFonts w:cstheme="minorHAnsi"/>
        </w:rPr>
        <w:t xml:space="preserve"> disease on a different path which will then lead to an</w:t>
      </w:r>
      <w:r w:rsidR="00F9358A">
        <w:rPr>
          <w:rFonts w:cstheme="minorHAnsi"/>
        </w:rPr>
        <w:t xml:space="preserve"> improve</w:t>
      </w:r>
      <w:r w:rsidR="009024FE">
        <w:rPr>
          <w:rFonts w:cstheme="minorHAnsi"/>
        </w:rPr>
        <w:t>d</w:t>
      </w:r>
      <w:r w:rsidR="00F9358A">
        <w:rPr>
          <w:rFonts w:cstheme="minorHAnsi"/>
        </w:rPr>
        <w:t xml:space="preserve"> quality of life.</w:t>
      </w:r>
    </w:p>
    <w:p w14:paraId="387A8BD2" w14:textId="77777777" w:rsidR="00F07A02" w:rsidRDefault="00F07A02" w:rsidP="00B82B78">
      <w:pPr>
        <w:spacing w:line="480" w:lineRule="auto"/>
      </w:pPr>
    </w:p>
    <w:p w14:paraId="5052D420" w14:textId="77777777" w:rsidR="001153BA" w:rsidRDefault="001153BA" w:rsidP="00B82B78">
      <w:pPr>
        <w:spacing w:line="480" w:lineRule="auto"/>
      </w:pPr>
    </w:p>
    <w:p w14:paraId="14A0AB7D" w14:textId="77777777" w:rsidR="00611D52" w:rsidRDefault="00611D52" w:rsidP="00B82B78">
      <w:pPr>
        <w:spacing w:line="480" w:lineRule="auto"/>
      </w:pPr>
    </w:p>
    <w:p w14:paraId="72DFA868" w14:textId="77777777" w:rsidR="00611D52" w:rsidRDefault="00611D52" w:rsidP="00B82B78">
      <w:pPr>
        <w:spacing w:line="480" w:lineRule="auto"/>
      </w:pPr>
    </w:p>
    <w:p w14:paraId="094CA15C" w14:textId="77777777" w:rsidR="00611D52" w:rsidRDefault="00611D52" w:rsidP="00B82B78">
      <w:pPr>
        <w:spacing w:line="480" w:lineRule="auto"/>
      </w:pPr>
    </w:p>
    <w:p w14:paraId="5BD6F866" w14:textId="77777777" w:rsidR="00611D52" w:rsidRDefault="00611D52" w:rsidP="00B82B78">
      <w:pPr>
        <w:spacing w:line="480" w:lineRule="auto"/>
      </w:pPr>
    </w:p>
    <w:p w14:paraId="610440D0" w14:textId="77777777" w:rsidR="00B82B78" w:rsidRDefault="00B82B78" w:rsidP="00B82B78">
      <w:pPr>
        <w:spacing w:line="480" w:lineRule="auto"/>
      </w:pPr>
    </w:p>
    <w:p w14:paraId="7B374AA5" w14:textId="77777777" w:rsidR="00B82B78" w:rsidRDefault="00B82B78" w:rsidP="00B82B78">
      <w:pPr>
        <w:spacing w:line="480" w:lineRule="auto"/>
      </w:pPr>
    </w:p>
    <w:p w14:paraId="1337890A" w14:textId="77777777" w:rsidR="00611D52" w:rsidRPr="00793648" w:rsidRDefault="00611D52" w:rsidP="00C83A7F">
      <w:pPr>
        <w:spacing w:line="480" w:lineRule="auto"/>
        <w:ind w:left="2880" w:firstLine="720"/>
        <w:jc w:val="center"/>
        <w:rPr>
          <w:rFonts w:cstheme="minorHAnsi"/>
          <w:b/>
        </w:rPr>
      </w:pPr>
      <w:r w:rsidRPr="00793648">
        <w:rPr>
          <w:rFonts w:cstheme="minorHAnsi"/>
          <w:b/>
        </w:rPr>
        <w:lastRenderedPageBreak/>
        <w:t>References</w:t>
      </w:r>
      <w:r w:rsidR="00C83A7F">
        <w:rPr>
          <w:rFonts w:cstheme="minorHAnsi"/>
          <w:b/>
        </w:rPr>
        <w:tab/>
      </w:r>
      <w:r w:rsidR="00C83A7F">
        <w:rPr>
          <w:rFonts w:cstheme="minorHAnsi"/>
          <w:b/>
        </w:rPr>
        <w:tab/>
      </w:r>
      <w:r w:rsidR="00C83A7F">
        <w:rPr>
          <w:rFonts w:cstheme="minorHAnsi"/>
          <w:b/>
        </w:rPr>
        <w:tab/>
      </w:r>
      <w:r w:rsidR="00C83A7F">
        <w:rPr>
          <w:rFonts w:cstheme="minorHAnsi"/>
          <w:b/>
        </w:rPr>
        <w:tab/>
      </w:r>
      <w:r w:rsidR="00C83A7F">
        <w:rPr>
          <w:rFonts w:cstheme="minorHAnsi"/>
          <w:b/>
        </w:rPr>
        <w:tab/>
      </w:r>
      <w:r w:rsidR="00C83A7F" w:rsidRPr="00C83A7F">
        <w:rPr>
          <w:rFonts w:cstheme="minorHAnsi"/>
        </w:rPr>
        <w:t xml:space="preserve">               6</w:t>
      </w:r>
      <w:r w:rsidR="00C83A7F">
        <w:rPr>
          <w:rFonts w:cstheme="minorHAnsi"/>
          <w:b/>
        </w:rPr>
        <w:tab/>
      </w:r>
      <w:r w:rsidR="00C83A7F">
        <w:rPr>
          <w:rFonts w:cstheme="minorHAnsi"/>
          <w:b/>
        </w:rPr>
        <w:tab/>
      </w:r>
      <w:r w:rsidR="00C83A7F">
        <w:rPr>
          <w:rFonts w:cstheme="minorHAnsi"/>
          <w:b/>
        </w:rPr>
        <w:tab/>
      </w:r>
      <w:r w:rsidR="00C83A7F">
        <w:rPr>
          <w:rFonts w:cstheme="minorHAnsi"/>
          <w:b/>
        </w:rPr>
        <w:tab/>
      </w:r>
      <w:r w:rsidR="00C83A7F">
        <w:rPr>
          <w:rFonts w:cstheme="minorHAnsi"/>
          <w:b/>
        </w:rPr>
        <w:tab/>
      </w:r>
      <w:r w:rsidR="00C83A7F">
        <w:rPr>
          <w:rFonts w:cstheme="minorHAnsi"/>
          <w:b/>
        </w:rPr>
        <w:tab/>
      </w:r>
      <w:r w:rsidR="00C83A7F">
        <w:rPr>
          <w:rFonts w:cstheme="minorHAnsi"/>
          <w:b/>
        </w:rPr>
        <w:tab/>
      </w:r>
      <w:r w:rsidR="00C83A7F">
        <w:rPr>
          <w:rFonts w:cstheme="minorHAnsi"/>
          <w:b/>
        </w:rPr>
        <w:tab/>
        <w:t xml:space="preserve">     </w:t>
      </w:r>
    </w:p>
    <w:p w14:paraId="54910A17" w14:textId="77777777" w:rsidR="00894E0C" w:rsidRPr="00221175" w:rsidRDefault="00894E0C" w:rsidP="00662037">
      <w:pPr>
        <w:spacing w:after="0" w:line="480" w:lineRule="auto"/>
        <w:ind w:left="720" w:hanging="720"/>
        <w:rPr>
          <w:rFonts w:eastAsia="Times New Roman" w:cstheme="minorHAnsi"/>
          <w:u w:val="single"/>
          <w:lang w:eastAsia="en-AU"/>
        </w:rPr>
      </w:pPr>
      <w:r w:rsidRPr="00221175">
        <w:rPr>
          <w:rFonts w:eastAsia="Times New Roman" w:cstheme="minorHAnsi"/>
          <w:lang w:eastAsia="en-AU"/>
        </w:rPr>
        <w:t xml:space="preserve">Alzheimer’s Australia. (2017). Dementia and the impact of Stigma. Retrieved from </w:t>
      </w:r>
      <w:r w:rsidR="00805D23">
        <w:rPr>
          <w:rFonts w:eastAsia="Times New Roman" w:cstheme="minorHAnsi"/>
          <w:lang w:eastAsia="en-AU"/>
        </w:rPr>
        <w:t xml:space="preserve">  </w:t>
      </w:r>
      <w:hyperlink r:id="rId4" w:history="1">
        <w:r w:rsidRPr="00221175">
          <w:rPr>
            <w:rStyle w:val="Hyperlink"/>
            <w:rFonts w:eastAsia="Times New Roman" w:cstheme="minorHAnsi"/>
            <w:color w:val="auto"/>
            <w:lang w:eastAsia="en-AU"/>
          </w:rPr>
          <w:t>https://www.dementia.org.au/sites/default/files/documents/Dementia-Social-Stigma-Report-2017.pdf</w:t>
        </w:r>
      </w:hyperlink>
    </w:p>
    <w:p w14:paraId="5B3CFCCE" w14:textId="77777777" w:rsidR="00894E0C" w:rsidRPr="00221175" w:rsidRDefault="00894E0C" w:rsidP="00662037">
      <w:pPr>
        <w:spacing w:line="480" w:lineRule="auto"/>
        <w:ind w:left="720" w:hanging="720"/>
        <w:rPr>
          <w:rStyle w:val="Hyperlink"/>
          <w:rFonts w:cstheme="minorHAnsi"/>
          <w:color w:val="auto"/>
        </w:rPr>
      </w:pPr>
      <w:r w:rsidRPr="00221175">
        <w:rPr>
          <w:rFonts w:cstheme="minorHAnsi"/>
        </w:rPr>
        <w:t xml:space="preserve">Australian Institute of Health and Welfare. (2019). Dementia: Overview </w:t>
      </w:r>
      <w:hyperlink r:id="rId5" w:history="1">
        <w:r w:rsidRPr="00221175">
          <w:rPr>
            <w:rStyle w:val="Hyperlink"/>
            <w:rFonts w:cstheme="minorHAnsi"/>
            <w:color w:val="auto"/>
          </w:rPr>
          <w:t>https://www.aihw.gov.au/</w:t>
        </w:r>
        <w:r w:rsidR="00662037">
          <w:rPr>
            <w:rStyle w:val="Hyperlink"/>
            <w:rFonts w:cstheme="minorHAnsi"/>
            <w:color w:val="auto"/>
          </w:rPr>
          <w:t>‌</w:t>
        </w:r>
        <w:r w:rsidRPr="00221175">
          <w:rPr>
            <w:rStyle w:val="Hyperlink"/>
            <w:rFonts w:cstheme="minorHAnsi"/>
            <w:color w:val="auto"/>
          </w:rPr>
          <w:t>reports-data/health-conditions-disability-deaths/dementia/overview</w:t>
        </w:r>
      </w:hyperlink>
    </w:p>
    <w:p w14:paraId="4DBB4C9E" w14:textId="77777777" w:rsidR="00631D87" w:rsidRPr="00221175" w:rsidRDefault="00E43D60" w:rsidP="00662037">
      <w:pPr>
        <w:spacing w:line="480" w:lineRule="auto"/>
        <w:ind w:left="720" w:hanging="720"/>
        <w:rPr>
          <w:rFonts w:eastAsia="Times New Roman" w:cstheme="minorHAnsi"/>
          <w:lang w:eastAsia="en-AU"/>
        </w:rPr>
      </w:pPr>
      <w:hyperlink r:id="rId6" w:history="1">
        <w:r w:rsidR="00631D87" w:rsidRPr="00221175">
          <w:rPr>
            <w:rFonts w:eastAsia="Times New Roman" w:cstheme="minorHAnsi"/>
            <w:lang w:eastAsia="en-AU"/>
          </w:rPr>
          <w:t>Buettner</w:t>
        </w:r>
      </w:hyperlink>
      <w:r w:rsidR="00631D87" w:rsidRPr="00221175">
        <w:rPr>
          <w:rFonts w:eastAsia="Times New Roman" w:cstheme="minorHAnsi"/>
          <w:lang w:eastAsia="en-AU"/>
        </w:rPr>
        <w:t>,</w:t>
      </w:r>
      <w:r w:rsidR="00631D87" w:rsidRPr="00221175">
        <w:rPr>
          <w:rFonts w:eastAsia="Times New Roman" w:cstheme="minorHAnsi"/>
          <w:vertAlign w:val="superscript"/>
          <w:lang w:eastAsia="en-AU"/>
        </w:rPr>
        <w:t xml:space="preserve"> </w:t>
      </w:r>
      <w:r w:rsidR="00631D87" w:rsidRPr="00221175">
        <w:rPr>
          <w:rFonts w:eastAsia="Times New Roman" w:cstheme="minorHAnsi"/>
          <w:lang w:eastAsia="en-AU"/>
        </w:rPr>
        <w:t xml:space="preserve">L., </w:t>
      </w:r>
      <w:hyperlink r:id="rId7" w:history="1">
        <w:r w:rsidR="00631D87" w:rsidRPr="00221175">
          <w:rPr>
            <w:rFonts w:eastAsia="Times New Roman" w:cstheme="minorHAnsi"/>
            <w:lang w:eastAsia="en-AU"/>
          </w:rPr>
          <w:t>Fitzsimmons</w:t>
        </w:r>
      </w:hyperlink>
      <w:r w:rsidR="00631D87" w:rsidRPr="00221175">
        <w:rPr>
          <w:rFonts w:eastAsia="Times New Roman" w:cstheme="minorHAnsi"/>
          <w:lang w:eastAsia="en-AU"/>
        </w:rPr>
        <w:t xml:space="preserve">, S., </w:t>
      </w:r>
      <w:hyperlink r:id="rId8" w:history="1">
        <w:proofErr w:type="spellStart"/>
        <w:r w:rsidR="00631D87" w:rsidRPr="00221175">
          <w:rPr>
            <w:rFonts w:eastAsia="Times New Roman" w:cstheme="minorHAnsi"/>
            <w:lang w:eastAsia="en-AU"/>
          </w:rPr>
          <w:t>Atav</w:t>
        </w:r>
        <w:proofErr w:type="spellEnd"/>
      </w:hyperlink>
      <w:r w:rsidR="00631D87" w:rsidRPr="00221175">
        <w:rPr>
          <w:rFonts w:eastAsia="Times New Roman" w:cstheme="minorHAnsi"/>
          <w:lang w:eastAsia="en-AU"/>
        </w:rPr>
        <w:t>,</w:t>
      </w:r>
      <w:r w:rsidR="00631D87" w:rsidRPr="00221175">
        <w:rPr>
          <w:rFonts w:eastAsia="Times New Roman" w:cstheme="minorHAnsi"/>
          <w:vertAlign w:val="superscript"/>
          <w:lang w:eastAsia="en-AU"/>
        </w:rPr>
        <w:t xml:space="preserve"> </w:t>
      </w:r>
      <w:r w:rsidR="00631D87" w:rsidRPr="00221175">
        <w:rPr>
          <w:rFonts w:eastAsia="Times New Roman" w:cstheme="minorHAnsi"/>
          <w:lang w:eastAsia="en-AU"/>
        </w:rPr>
        <w:t xml:space="preserve">S., &amp; </w:t>
      </w:r>
      <w:hyperlink r:id="rId9" w:history="1">
        <w:r w:rsidR="00631D87" w:rsidRPr="00221175">
          <w:rPr>
            <w:rFonts w:eastAsia="Times New Roman" w:cstheme="minorHAnsi"/>
            <w:lang w:eastAsia="en-AU"/>
          </w:rPr>
          <w:t>Sink</w:t>
        </w:r>
      </w:hyperlink>
      <w:r w:rsidR="00631D87" w:rsidRPr="00221175">
        <w:rPr>
          <w:rFonts w:eastAsia="Times New Roman" w:cstheme="minorHAnsi"/>
          <w:lang w:eastAsia="en-AU"/>
        </w:rPr>
        <w:t xml:space="preserve">, K. (2011). </w:t>
      </w:r>
      <w:r w:rsidR="00631D87" w:rsidRPr="00221175">
        <w:rPr>
          <w:rFonts w:eastAsia="Times New Roman" w:cstheme="minorHAnsi"/>
          <w:bCs/>
          <w:kern w:val="36"/>
          <w:lang w:eastAsia="en-AU"/>
        </w:rPr>
        <w:t xml:space="preserve">Cognitive Stimulation for Apathy in Probable Early-Stage Alzheimer's. </w:t>
      </w:r>
      <w:r w:rsidR="00631D87" w:rsidRPr="00221175">
        <w:rPr>
          <w:rFonts w:eastAsia="Times New Roman" w:cstheme="minorHAnsi"/>
          <w:bCs/>
          <w:i/>
          <w:kern w:val="36"/>
          <w:lang w:eastAsia="en-AU"/>
        </w:rPr>
        <w:t>Journal of Ageing Research</w:t>
      </w:r>
      <w:r w:rsidR="00631D87" w:rsidRPr="00221175">
        <w:rPr>
          <w:rFonts w:eastAsia="Times New Roman" w:cstheme="minorHAnsi"/>
          <w:lang w:eastAsia="en-AU"/>
        </w:rPr>
        <w:t xml:space="preserve">. </w:t>
      </w:r>
      <w:proofErr w:type="spellStart"/>
      <w:r w:rsidR="00631D87" w:rsidRPr="00221175">
        <w:rPr>
          <w:rFonts w:eastAsia="Times New Roman" w:cstheme="minorHAnsi"/>
          <w:lang w:eastAsia="en-AU"/>
        </w:rPr>
        <w:t>doi</w:t>
      </w:r>
      <w:proofErr w:type="spellEnd"/>
      <w:r w:rsidR="00631D87" w:rsidRPr="00221175">
        <w:rPr>
          <w:rFonts w:eastAsia="Times New Roman" w:cstheme="minorHAnsi"/>
          <w:lang w:eastAsia="en-AU"/>
        </w:rPr>
        <w:t>: </w:t>
      </w:r>
      <w:hyperlink r:id="rId10" w:tgtFrame="pmc_ext" w:history="1">
        <w:r w:rsidR="00631D87" w:rsidRPr="00221175">
          <w:rPr>
            <w:rFonts w:eastAsia="Times New Roman" w:cstheme="minorHAnsi"/>
            <w:u w:val="single"/>
            <w:lang w:eastAsia="en-AU"/>
          </w:rPr>
          <w:t>10.4061/2011/480890</w:t>
        </w:r>
      </w:hyperlink>
    </w:p>
    <w:p w14:paraId="257724D0" w14:textId="77777777" w:rsidR="00B82B78" w:rsidRDefault="00003E47" w:rsidP="00662037">
      <w:pPr>
        <w:spacing w:before="100" w:beforeAutospacing="1" w:after="100" w:afterAutospacing="1" w:line="480" w:lineRule="auto"/>
        <w:ind w:left="720" w:hanging="720"/>
        <w:outlineLvl w:val="2"/>
        <w:rPr>
          <w:rFonts w:cstheme="minorHAnsi"/>
        </w:rPr>
      </w:pPr>
      <w:r>
        <w:rPr>
          <w:rFonts w:eastAsia="Times New Roman" w:cstheme="minorHAnsi"/>
          <w:lang w:eastAsia="en-AU"/>
        </w:rPr>
        <w:t>Cipriani, G.,</w:t>
      </w:r>
      <w:r w:rsidR="00061C5F">
        <w:rPr>
          <w:rFonts w:eastAsia="Times New Roman" w:cstheme="minorHAnsi"/>
          <w:lang w:eastAsia="en-AU"/>
        </w:rPr>
        <w:t xml:space="preserve"> </w:t>
      </w:r>
      <w:proofErr w:type="spellStart"/>
      <w:r w:rsidR="00061C5F">
        <w:rPr>
          <w:rFonts w:eastAsia="Times New Roman" w:cstheme="minorHAnsi"/>
          <w:lang w:eastAsia="en-AU"/>
        </w:rPr>
        <w:t>Lucetti</w:t>
      </w:r>
      <w:proofErr w:type="spellEnd"/>
      <w:r w:rsidR="00061C5F">
        <w:rPr>
          <w:rFonts w:eastAsia="Times New Roman" w:cstheme="minorHAnsi"/>
          <w:lang w:eastAsia="en-AU"/>
        </w:rPr>
        <w:t xml:space="preserve">, C., </w:t>
      </w:r>
      <w:proofErr w:type="spellStart"/>
      <w:r w:rsidR="00061C5F">
        <w:rPr>
          <w:rFonts w:eastAsia="Times New Roman" w:cstheme="minorHAnsi"/>
          <w:lang w:eastAsia="en-AU"/>
        </w:rPr>
        <w:t>Danti</w:t>
      </w:r>
      <w:proofErr w:type="spellEnd"/>
      <w:r w:rsidR="00061C5F">
        <w:rPr>
          <w:rFonts w:eastAsia="Times New Roman" w:cstheme="minorHAnsi"/>
          <w:lang w:eastAsia="en-AU"/>
        </w:rPr>
        <w:t xml:space="preserve">, S., &amp; </w:t>
      </w:r>
      <w:proofErr w:type="spellStart"/>
      <w:r w:rsidR="00061C5F">
        <w:rPr>
          <w:rFonts w:eastAsia="Times New Roman" w:cstheme="minorHAnsi"/>
          <w:lang w:eastAsia="en-AU"/>
        </w:rPr>
        <w:t>Nuti</w:t>
      </w:r>
      <w:proofErr w:type="spellEnd"/>
      <w:r w:rsidR="00061C5F">
        <w:rPr>
          <w:rFonts w:eastAsia="Times New Roman" w:cstheme="minorHAnsi"/>
          <w:lang w:eastAsia="en-AU"/>
        </w:rPr>
        <w:t>, A. (2014).</w:t>
      </w:r>
      <w:r w:rsidR="00894E0C" w:rsidRPr="00221175">
        <w:rPr>
          <w:rFonts w:eastAsia="Times New Roman" w:cstheme="minorHAnsi"/>
          <w:lang w:eastAsia="en-AU"/>
        </w:rPr>
        <w:t xml:space="preserve"> </w:t>
      </w:r>
      <w:hyperlink r:id="rId11" w:history="1">
        <w:r w:rsidR="00894E0C" w:rsidRPr="00221175">
          <w:rPr>
            <w:rFonts w:eastAsia="Times New Roman" w:cstheme="minorHAnsi"/>
            <w:bCs/>
            <w:lang w:eastAsia="en-AU"/>
          </w:rPr>
          <w:t>Apathy and Dementia. Nosology, Assessment and Management</w:t>
        </w:r>
      </w:hyperlink>
      <w:r w:rsidR="00221175">
        <w:rPr>
          <w:rFonts w:eastAsia="Times New Roman" w:cstheme="minorHAnsi"/>
          <w:bCs/>
          <w:lang w:eastAsia="en-AU"/>
        </w:rPr>
        <w:t>.</w:t>
      </w:r>
      <w:r w:rsidR="00894E0C" w:rsidRPr="00221175">
        <w:rPr>
          <w:rFonts w:eastAsia="Times New Roman" w:cstheme="minorHAnsi"/>
          <w:bCs/>
          <w:lang w:eastAsia="en-AU"/>
        </w:rPr>
        <w:t xml:space="preserve"> </w:t>
      </w:r>
      <w:r w:rsidR="00894E0C" w:rsidRPr="00061C5F">
        <w:rPr>
          <w:rFonts w:eastAsia="Times New Roman" w:cstheme="minorHAnsi"/>
          <w:i/>
          <w:lang w:eastAsia="en-AU"/>
        </w:rPr>
        <w:t>The Journal of Nervous and Mental Disease</w:t>
      </w:r>
      <w:r w:rsidR="00061C5F">
        <w:rPr>
          <w:rFonts w:eastAsia="Times New Roman" w:cstheme="minorHAnsi"/>
          <w:lang w:eastAsia="en-AU"/>
        </w:rPr>
        <w:t>,</w:t>
      </w:r>
      <w:r w:rsidR="00221175">
        <w:rPr>
          <w:rFonts w:eastAsia="Times New Roman" w:cstheme="minorHAnsi"/>
          <w:lang w:eastAsia="en-AU"/>
        </w:rPr>
        <w:t xml:space="preserve"> </w:t>
      </w:r>
      <w:r w:rsidR="00894E0C" w:rsidRPr="00061C5F">
        <w:rPr>
          <w:rFonts w:eastAsia="Times New Roman" w:cstheme="minorHAnsi"/>
          <w:i/>
          <w:lang w:eastAsia="en-AU"/>
        </w:rPr>
        <w:t>202</w:t>
      </w:r>
      <w:r w:rsidR="00061C5F">
        <w:rPr>
          <w:rFonts w:eastAsia="Times New Roman" w:cstheme="minorHAnsi"/>
          <w:lang w:eastAsia="en-AU"/>
        </w:rPr>
        <w:t xml:space="preserve">(10), </w:t>
      </w:r>
      <w:r w:rsidR="00894E0C" w:rsidRPr="00221175">
        <w:rPr>
          <w:rFonts w:eastAsia="Times New Roman" w:cstheme="minorHAnsi"/>
          <w:lang w:eastAsia="en-AU"/>
        </w:rPr>
        <w:t xml:space="preserve">718-724 </w:t>
      </w:r>
      <w:r w:rsidR="00894E0C" w:rsidRPr="00221175">
        <w:rPr>
          <w:rFonts w:cstheme="minorHAnsi"/>
        </w:rPr>
        <w:t xml:space="preserve">DOI: </w:t>
      </w:r>
      <w:r w:rsidR="00894E0C" w:rsidRPr="00061C5F">
        <w:rPr>
          <w:rFonts w:cstheme="minorHAnsi"/>
          <w:u w:val="single"/>
        </w:rPr>
        <w:t>10.1097/NMD.0000000000000190</w:t>
      </w:r>
    </w:p>
    <w:p w14:paraId="66CC0A1D" w14:textId="77777777" w:rsidR="00894E0C" w:rsidRPr="00B82B78" w:rsidRDefault="00894E0C" w:rsidP="00662037">
      <w:pPr>
        <w:spacing w:before="100" w:beforeAutospacing="1" w:after="100" w:afterAutospacing="1" w:line="480" w:lineRule="auto"/>
        <w:ind w:left="720" w:hanging="720"/>
        <w:outlineLvl w:val="2"/>
        <w:rPr>
          <w:rStyle w:val="Hyperlink"/>
          <w:rFonts w:cstheme="minorHAnsi"/>
          <w:color w:val="auto"/>
          <w:u w:val="none"/>
        </w:rPr>
      </w:pPr>
      <w:r w:rsidRPr="00221175">
        <w:rPr>
          <w:rFonts w:cstheme="minorHAnsi"/>
        </w:rPr>
        <w:t>Cumming, E., Dean, L. R., Newell, D. S., &amp; McCaffrey, I. (1960). Disengagement-A Tentative Theory of Aging</w:t>
      </w:r>
      <w:r w:rsidR="00631D87" w:rsidRPr="00221175">
        <w:rPr>
          <w:rFonts w:cstheme="minorHAnsi"/>
        </w:rPr>
        <w:t xml:space="preserve">. </w:t>
      </w:r>
      <w:r w:rsidR="00631D87" w:rsidRPr="00221175">
        <w:rPr>
          <w:rFonts w:cstheme="minorHAnsi"/>
          <w:i/>
        </w:rPr>
        <w:t>American Sociological Association, 23</w:t>
      </w:r>
      <w:r w:rsidRPr="00221175">
        <w:rPr>
          <w:rFonts w:cstheme="minorHAnsi"/>
        </w:rPr>
        <w:t xml:space="preserve"> </w:t>
      </w:r>
      <w:r w:rsidR="00631D87" w:rsidRPr="00221175">
        <w:rPr>
          <w:rFonts w:cstheme="minorHAnsi"/>
        </w:rPr>
        <w:t>(</w:t>
      </w:r>
      <w:r w:rsidRPr="00221175">
        <w:rPr>
          <w:rFonts w:cstheme="minorHAnsi"/>
        </w:rPr>
        <w:t>1</w:t>
      </w:r>
      <w:r w:rsidR="00631D87" w:rsidRPr="00221175">
        <w:rPr>
          <w:rFonts w:cstheme="minorHAnsi"/>
        </w:rPr>
        <w:t>),</w:t>
      </w:r>
      <w:r w:rsidRPr="00221175">
        <w:rPr>
          <w:rFonts w:cstheme="minorHAnsi"/>
        </w:rPr>
        <w:t xml:space="preserve"> </w:t>
      </w:r>
      <w:r w:rsidR="00631D87" w:rsidRPr="00221175">
        <w:rPr>
          <w:rFonts w:cstheme="minorHAnsi"/>
        </w:rPr>
        <w:t xml:space="preserve">23-35. Retrieved from </w:t>
      </w:r>
      <w:hyperlink r:id="rId12" w:history="1">
        <w:r w:rsidRPr="00221175">
          <w:rPr>
            <w:rStyle w:val="Hyperlink"/>
            <w:rFonts w:cstheme="minorHAnsi"/>
            <w:color w:val="auto"/>
          </w:rPr>
          <w:t>https://www.jstor</w:t>
        </w:r>
        <w:r w:rsidR="00662037">
          <w:rPr>
            <w:rStyle w:val="Hyperlink"/>
            <w:rFonts w:cstheme="minorHAnsi"/>
            <w:color w:val="auto"/>
          </w:rPr>
          <w:t>‌</w:t>
        </w:r>
        <w:r w:rsidRPr="00221175">
          <w:rPr>
            <w:rStyle w:val="Hyperlink"/>
            <w:rFonts w:cstheme="minorHAnsi"/>
            <w:color w:val="auto"/>
          </w:rPr>
          <w:t>.org/</w:t>
        </w:r>
        <w:r w:rsidR="00662037">
          <w:rPr>
            <w:rStyle w:val="Hyperlink"/>
            <w:rFonts w:cstheme="minorHAnsi"/>
            <w:color w:val="auto"/>
          </w:rPr>
          <w:t>‌‌‌‌‌</w:t>
        </w:r>
        <w:r w:rsidRPr="00221175">
          <w:rPr>
            <w:rStyle w:val="Hyperlink"/>
            <w:rFonts w:cstheme="minorHAnsi"/>
            <w:color w:val="auto"/>
          </w:rPr>
          <w:t>stable/2786135</w:t>
        </w:r>
      </w:hyperlink>
    </w:p>
    <w:p w14:paraId="3CACF079" w14:textId="77777777" w:rsidR="00631D87" w:rsidRPr="00221175" w:rsidRDefault="00631D87" w:rsidP="00662037">
      <w:pPr>
        <w:spacing w:after="0" w:line="480" w:lineRule="auto"/>
        <w:ind w:left="720" w:hanging="720"/>
        <w:rPr>
          <w:rFonts w:eastAsia="Times New Roman" w:cstheme="minorHAnsi"/>
          <w:lang w:eastAsia="en-AU"/>
        </w:rPr>
      </w:pPr>
      <w:r w:rsidRPr="00221175">
        <w:rPr>
          <w:rStyle w:val="Hyperlink"/>
          <w:rFonts w:cstheme="minorHAnsi"/>
          <w:color w:val="auto"/>
          <w:u w:val="none"/>
        </w:rPr>
        <w:t>Cumming, E., Henry, W.E.,</w:t>
      </w:r>
      <w:r w:rsidR="00061C5F">
        <w:rPr>
          <w:rStyle w:val="Hyperlink"/>
          <w:rFonts w:cstheme="minorHAnsi"/>
          <w:color w:val="auto"/>
          <w:u w:val="none"/>
        </w:rPr>
        <w:t xml:space="preserve"> &amp;</w:t>
      </w:r>
      <w:r w:rsidRPr="00221175">
        <w:rPr>
          <w:rStyle w:val="Hyperlink"/>
          <w:rFonts w:cstheme="minorHAnsi"/>
          <w:color w:val="auto"/>
          <w:u w:val="none"/>
        </w:rPr>
        <w:t xml:space="preserve"> Parsons, T. (1962).</w:t>
      </w:r>
      <w:r w:rsidRPr="00221175">
        <w:rPr>
          <w:rFonts w:eastAsia="Times New Roman" w:cstheme="minorHAnsi"/>
          <w:lang w:eastAsia="en-AU"/>
        </w:rPr>
        <w:t xml:space="preserve"> </w:t>
      </w:r>
      <w:r w:rsidRPr="00221175">
        <w:rPr>
          <w:rFonts w:eastAsia="Times New Roman" w:cstheme="minorHAnsi"/>
          <w:iCs/>
          <w:lang w:eastAsia="en-AU"/>
        </w:rPr>
        <w:t xml:space="preserve">Growing Old: The Process of Disengagement. </w:t>
      </w:r>
      <w:r w:rsidRPr="00221175">
        <w:rPr>
          <w:rFonts w:eastAsia="Times New Roman" w:cstheme="minorHAnsi"/>
          <w:i/>
          <w:iCs/>
          <w:lang w:eastAsia="en-AU"/>
        </w:rPr>
        <w:t>American Sociological Review,</w:t>
      </w:r>
      <w:r w:rsidRPr="00221175">
        <w:rPr>
          <w:rFonts w:eastAsia="Times New Roman" w:cstheme="minorHAnsi"/>
          <w:lang w:eastAsia="en-AU"/>
        </w:rPr>
        <w:t xml:space="preserve"> </w:t>
      </w:r>
      <w:r w:rsidRPr="00221175">
        <w:rPr>
          <w:rFonts w:eastAsia="Times New Roman" w:cstheme="minorHAnsi"/>
          <w:i/>
          <w:lang w:eastAsia="en-AU"/>
        </w:rPr>
        <w:t>27</w:t>
      </w:r>
      <w:r w:rsidRPr="00221175">
        <w:rPr>
          <w:rFonts w:eastAsia="Times New Roman" w:cstheme="minorHAnsi"/>
          <w:lang w:eastAsia="en-AU"/>
        </w:rPr>
        <w:t xml:space="preserve"> (4) 561-562 </w:t>
      </w:r>
    </w:p>
    <w:p w14:paraId="5192280D" w14:textId="77777777" w:rsidR="00631D87" w:rsidRDefault="00611D52" w:rsidP="00662037">
      <w:pPr>
        <w:spacing w:line="480" w:lineRule="auto"/>
        <w:ind w:left="720" w:hanging="720"/>
        <w:rPr>
          <w:rStyle w:val="Hyperlink"/>
          <w:rFonts w:cstheme="minorHAnsi"/>
          <w:color w:val="auto"/>
        </w:rPr>
      </w:pPr>
      <w:r w:rsidRPr="00221175">
        <w:rPr>
          <w:rFonts w:cstheme="minorHAnsi"/>
        </w:rPr>
        <w:t>Dementia Australia</w:t>
      </w:r>
      <w:r w:rsidR="00894E0C" w:rsidRPr="00221175">
        <w:rPr>
          <w:rFonts w:cstheme="minorHAnsi"/>
        </w:rPr>
        <w:t>. (</w:t>
      </w:r>
      <w:r w:rsidRPr="00221175">
        <w:rPr>
          <w:rFonts w:cstheme="minorHAnsi"/>
        </w:rPr>
        <w:t>2020</w:t>
      </w:r>
      <w:r w:rsidR="00894E0C" w:rsidRPr="00221175">
        <w:rPr>
          <w:rFonts w:cstheme="minorHAnsi"/>
        </w:rPr>
        <w:t>). ‘</w:t>
      </w:r>
      <w:r w:rsidRPr="00221175">
        <w:rPr>
          <w:rFonts w:cstheme="minorHAnsi"/>
        </w:rPr>
        <w:t>What is Dementia’?</w:t>
      </w:r>
      <w:r w:rsidR="00894E0C" w:rsidRPr="00221175">
        <w:rPr>
          <w:rFonts w:cstheme="minorHAnsi"/>
        </w:rPr>
        <w:t xml:space="preserve"> Retrieved from </w:t>
      </w:r>
      <w:hyperlink r:id="rId13" w:history="1">
        <w:r w:rsidR="00631D87" w:rsidRPr="00221175">
          <w:rPr>
            <w:rStyle w:val="Hyperlink"/>
            <w:rFonts w:cstheme="minorHAnsi"/>
            <w:color w:val="auto"/>
          </w:rPr>
          <w:t>https://www.dementia.org.au/</w:t>
        </w:r>
        <w:r w:rsidR="00662037">
          <w:rPr>
            <w:rStyle w:val="Hyperlink"/>
            <w:rFonts w:cstheme="minorHAnsi"/>
            <w:color w:val="auto"/>
          </w:rPr>
          <w:t>‌</w:t>
        </w:r>
        <w:r w:rsidR="00631D87" w:rsidRPr="00221175">
          <w:rPr>
            <w:rStyle w:val="Hyperlink"/>
            <w:rFonts w:cstheme="minorHAnsi"/>
            <w:color w:val="auto"/>
          </w:rPr>
          <w:t>about-dementia/what-is-dementia</w:t>
        </w:r>
      </w:hyperlink>
    </w:p>
    <w:p w14:paraId="6F17493F" w14:textId="77777777" w:rsidR="00B82B78" w:rsidRPr="00B82B78" w:rsidRDefault="00B82B78" w:rsidP="00662037">
      <w:pPr>
        <w:spacing w:line="480" w:lineRule="auto"/>
        <w:ind w:left="720" w:hanging="720"/>
        <w:rPr>
          <w:rStyle w:val="Hyperlink"/>
          <w:rFonts w:cstheme="minorHAnsi"/>
          <w:color w:val="auto"/>
          <w:u w:val="none"/>
        </w:rPr>
      </w:pPr>
      <w:r w:rsidRPr="00B82B78">
        <w:rPr>
          <w:rStyle w:val="Hyperlink"/>
          <w:rFonts w:cstheme="minorHAnsi"/>
          <w:color w:val="auto"/>
          <w:u w:val="none"/>
        </w:rPr>
        <w:t>Dementia Australia. (2016). Younger Onset Dementia.</w:t>
      </w:r>
      <w:r>
        <w:rPr>
          <w:rStyle w:val="Hyperlink"/>
          <w:rFonts w:cstheme="minorHAnsi"/>
          <w:color w:val="auto"/>
          <w:u w:val="none"/>
        </w:rPr>
        <w:t xml:space="preserve"> Retrieved from </w:t>
      </w:r>
      <w:hyperlink r:id="rId14" w:history="1">
        <w:r w:rsidRPr="00B82B78">
          <w:rPr>
            <w:rStyle w:val="Hyperlink"/>
            <w:rFonts w:cstheme="minorHAnsi"/>
            <w:color w:val="auto"/>
          </w:rPr>
          <w:t>https://www.dementia.</w:t>
        </w:r>
        <w:r w:rsidR="00662037">
          <w:rPr>
            <w:rStyle w:val="Hyperlink"/>
            <w:rFonts w:cstheme="minorHAnsi"/>
            <w:color w:val="auto"/>
          </w:rPr>
          <w:t>‌</w:t>
        </w:r>
        <w:r w:rsidRPr="00B82B78">
          <w:rPr>
            <w:rStyle w:val="Hyperlink"/>
            <w:rFonts w:cstheme="minorHAnsi"/>
            <w:color w:val="auto"/>
          </w:rPr>
          <w:t>org.au/</w:t>
        </w:r>
        <w:r w:rsidR="00662037">
          <w:rPr>
            <w:rStyle w:val="Hyperlink"/>
            <w:rFonts w:cstheme="minorHAnsi"/>
            <w:color w:val="auto"/>
          </w:rPr>
          <w:t>‌‌</w:t>
        </w:r>
        <w:r w:rsidRPr="00B82B78">
          <w:rPr>
            <w:rStyle w:val="Hyperlink"/>
            <w:rFonts w:cstheme="minorHAnsi"/>
            <w:color w:val="auto"/>
          </w:rPr>
          <w:t>sites/default/files/helpsheets/Helpsheet-AboutDementia21-YoungerOnsetDementia</w:t>
        </w:r>
        <w:r w:rsidR="00662037">
          <w:rPr>
            <w:rStyle w:val="Hyperlink"/>
            <w:rFonts w:cstheme="minorHAnsi"/>
            <w:color w:val="auto"/>
          </w:rPr>
          <w:t>‌</w:t>
        </w:r>
        <w:r w:rsidRPr="00B82B78">
          <w:rPr>
            <w:rStyle w:val="Hyperlink"/>
            <w:rFonts w:cstheme="minorHAnsi"/>
            <w:color w:val="auto"/>
          </w:rPr>
          <w:t>_english.pdf</w:t>
        </w:r>
      </w:hyperlink>
    </w:p>
    <w:p w14:paraId="6B61DD83" w14:textId="77777777" w:rsidR="00B82B78" w:rsidRPr="00B82B78" w:rsidRDefault="00B82B78" w:rsidP="00B82B78">
      <w:pPr>
        <w:spacing w:line="480" w:lineRule="auto"/>
        <w:rPr>
          <w:rFonts w:eastAsia="Times New Roman" w:cstheme="minorHAnsi"/>
          <w:lang w:eastAsia="en-AU"/>
        </w:rPr>
      </w:pPr>
    </w:p>
    <w:p w14:paraId="247BCC86" w14:textId="77777777" w:rsidR="00C83A7F" w:rsidRDefault="00C83A7F" w:rsidP="00662037">
      <w:pPr>
        <w:spacing w:line="480" w:lineRule="auto"/>
        <w:ind w:left="720" w:hanging="720"/>
        <w:rPr>
          <w:rFonts w:eastAsia="Times New Roman" w:cstheme="minorHAnsi"/>
          <w:lang w:eastAsia="en-AU"/>
        </w:rPr>
      </w:pPr>
      <w:r>
        <w:rPr>
          <w:rFonts w:eastAsia="Times New Roman" w:cstheme="minorHAnsi"/>
          <w:lang w:eastAsia="en-AU"/>
        </w:rPr>
        <w:lastRenderedPageBreak/>
        <w:tab/>
      </w:r>
      <w:r>
        <w:rPr>
          <w:rFonts w:eastAsia="Times New Roman" w:cstheme="minorHAnsi"/>
          <w:lang w:eastAsia="en-AU"/>
        </w:rPr>
        <w:tab/>
      </w:r>
      <w:r>
        <w:rPr>
          <w:rFonts w:eastAsia="Times New Roman" w:cstheme="minorHAnsi"/>
          <w:lang w:eastAsia="en-AU"/>
        </w:rPr>
        <w:tab/>
      </w:r>
      <w:r>
        <w:rPr>
          <w:rFonts w:eastAsia="Times New Roman" w:cstheme="minorHAnsi"/>
          <w:lang w:eastAsia="en-AU"/>
        </w:rPr>
        <w:tab/>
      </w:r>
      <w:r>
        <w:rPr>
          <w:rFonts w:eastAsia="Times New Roman" w:cstheme="minorHAnsi"/>
          <w:lang w:eastAsia="en-AU"/>
        </w:rPr>
        <w:tab/>
      </w:r>
      <w:r>
        <w:rPr>
          <w:rFonts w:eastAsia="Times New Roman" w:cstheme="minorHAnsi"/>
          <w:lang w:eastAsia="en-AU"/>
        </w:rPr>
        <w:tab/>
      </w:r>
      <w:r>
        <w:rPr>
          <w:rFonts w:eastAsia="Times New Roman" w:cstheme="minorHAnsi"/>
          <w:lang w:eastAsia="en-AU"/>
        </w:rPr>
        <w:tab/>
      </w:r>
      <w:r>
        <w:rPr>
          <w:rFonts w:eastAsia="Times New Roman" w:cstheme="minorHAnsi"/>
          <w:lang w:eastAsia="en-AU"/>
        </w:rPr>
        <w:tab/>
      </w:r>
      <w:r>
        <w:rPr>
          <w:rFonts w:eastAsia="Times New Roman" w:cstheme="minorHAnsi"/>
          <w:lang w:eastAsia="en-AU"/>
        </w:rPr>
        <w:tab/>
      </w:r>
      <w:r>
        <w:rPr>
          <w:rFonts w:eastAsia="Times New Roman" w:cstheme="minorHAnsi"/>
          <w:lang w:eastAsia="en-AU"/>
        </w:rPr>
        <w:tab/>
      </w:r>
      <w:r>
        <w:rPr>
          <w:rFonts w:eastAsia="Times New Roman" w:cstheme="minorHAnsi"/>
          <w:lang w:eastAsia="en-AU"/>
        </w:rPr>
        <w:tab/>
      </w:r>
      <w:r>
        <w:rPr>
          <w:rFonts w:eastAsia="Times New Roman" w:cstheme="minorHAnsi"/>
          <w:lang w:eastAsia="en-AU"/>
        </w:rPr>
        <w:tab/>
        <w:t xml:space="preserve">     7</w:t>
      </w:r>
    </w:p>
    <w:p w14:paraId="3C61F3BE" w14:textId="77777777" w:rsidR="00631D87" w:rsidRPr="00221175" w:rsidRDefault="00631D87" w:rsidP="00662037">
      <w:pPr>
        <w:spacing w:line="480" w:lineRule="auto"/>
        <w:ind w:left="720" w:hanging="720"/>
        <w:rPr>
          <w:rFonts w:cstheme="minorHAnsi"/>
        </w:rPr>
      </w:pPr>
      <w:r w:rsidRPr="00221175">
        <w:rPr>
          <w:rFonts w:eastAsia="Times New Roman" w:cstheme="minorHAnsi"/>
          <w:lang w:eastAsia="en-AU"/>
        </w:rPr>
        <w:t xml:space="preserve">Honda, Y., </w:t>
      </w:r>
      <w:hyperlink r:id="rId15" w:history="1">
        <w:r w:rsidRPr="00221175">
          <w:rPr>
            <w:rFonts w:eastAsia="Times New Roman" w:cstheme="minorHAnsi"/>
            <w:lang w:eastAsia="en-AU"/>
          </w:rPr>
          <w:t>Meguro</w:t>
        </w:r>
      </w:hyperlink>
      <w:r w:rsidRPr="00221175">
        <w:rPr>
          <w:rFonts w:eastAsia="Times New Roman" w:cstheme="minorHAnsi"/>
          <w:lang w:eastAsia="en-AU"/>
        </w:rPr>
        <w:t>, K., </w:t>
      </w:r>
      <w:hyperlink r:id="rId16" w:history="1">
        <w:r w:rsidRPr="00221175">
          <w:rPr>
            <w:rFonts w:eastAsia="Times New Roman" w:cstheme="minorHAnsi"/>
            <w:lang w:eastAsia="en-AU"/>
          </w:rPr>
          <w:t>Meguro</w:t>
        </w:r>
      </w:hyperlink>
      <w:r w:rsidRPr="00221175">
        <w:rPr>
          <w:rFonts w:eastAsia="Times New Roman" w:cstheme="minorHAnsi"/>
          <w:lang w:eastAsia="en-AU"/>
        </w:rPr>
        <w:t>, M., </w:t>
      </w:r>
      <w:r w:rsidR="00061C5F">
        <w:rPr>
          <w:rFonts w:eastAsia="Times New Roman" w:cstheme="minorHAnsi"/>
          <w:lang w:eastAsia="en-AU"/>
        </w:rPr>
        <w:t xml:space="preserve">&amp; </w:t>
      </w:r>
      <w:hyperlink r:id="rId17" w:history="1">
        <w:proofErr w:type="spellStart"/>
        <w:r w:rsidRPr="00221175">
          <w:rPr>
            <w:rFonts w:eastAsia="Times New Roman" w:cstheme="minorHAnsi"/>
            <w:lang w:eastAsia="en-AU"/>
          </w:rPr>
          <w:t>Akanuma</w:t>
        </w:r>
        <w:proofErr w:type="spellEnd"/>
      </w:hyperlink>
      <w:r w:rsidR="00221175" w:rsidRPr="00221175">
        <w:rPr>
          <w:rFonts w:eastAsia="Times New Roman" w:cstheme="minorHAnsi"/>
          <w:lang w:eastAsia="en-AU"/>
        </w:rPr>
        <w:t>, K.</w:t>
      </w:r>
      <w:r w:rsidRPr="00221175">
        <w:rPr>
          <w:rFonts w:eastAsia="Times New Roman" w:cstheme="minorHAnsi"/>
          <w:lang w:eastAsia="en-AU"/>
        </w:rPr>
        <w:t xml:space="preserve"> (2013)</w:t>
      </w:r>
      <w:r w:rsidR="00221175" w:rsidRPr="00221175">
        <w:rPr>
          <w:rFonts w:eastAsia="Times New Roman" w:cstheme="minorHAnsi"/>
          <w:lang w:eastAsia="en-AU"/>
        </w:rPr>
        <w:t>.</w:t>
      </w:r>
      <w:r w:rsidRPr="00221175">
        <w:rPr>
          <w:rFonts w:eastAsia="Times New Roman" w:cstheme="minorHAnsi"/>
          <w:lang w:eastAsia="en-AU"/>
        </w:rPr>
        <w:t xml:space="preserve"> </w:t>
      </w:r>
      <w:r w:rsidRPr="00221175">
        <w:rPr>
          <w:rFonts w:eastAsia="Times New Roman" w:cstheme="minorHAnsi"/>
          <w:bCs/>
          <w:kern w:val="36"/>
          <w:lang w:eastAsia="en-AU"/>
        </w:rPr>
        <w:t xml:space="preserve">Social withdrawal of persons with vascular dementia associated with disturbance of basic daily activities, apathy, and impaired social </w:t>
      </w:r>
      <w:r w:rsidR="00221175" w:rsidRPr="00221175">
        <w:rPr>
          <w:rFonts w:eastAsia="Times New Roman" w:cstheme="minorHAnsi"/>
          <w:bCs/>
          <w:kern w:val="36"/>
          <w:lang w:eastAsia="en-AU"/>
        </w:rPr>
        <w:t xml:space="preserve">judgment. </w:t>
      </w:r>
      <w:hyperlink r:id="rId18" w:tooltip="Click to search for more items from this journal" w:history="1">
        <w:r w:rsidRPr="00221175">
          <w:rPr>
            <w:rFonts w:cstheme="minorHAnsi"/>
            <w:bCs/>
            <w:i/>
          </w:rPr>
          <w:t>Care Management Journals</w:t>
        </w:r>
      </w:hyperlink>
      <w:r w:rsidR="00221175" w:rsidRPr="00221175">
        <w:rPr>
          <w:rFonts w:cstheme="minorHAnsi"/>
          <w:bCs/>
          <w:i/>
        </w:rPr>
        <w:t>,</w:t>
      </w:r>
      <w:r w:rsidR="00221175" w:rsidRPr="00221175">
        <w:rPr>
          <w:rFonts w:cstheme="minorHAnsi"/>
          <w:b/>
          <w:bCs/>
        </w:rPr>
        <w:t xml:space="preserve"> </w:t>
      </w:r>
      <w:r w:rsidRPr="00221175">
        <w:rPr>
          <w:rFonts w:cstheme="minorHAnsi"/>
          <w:i/>
        </w:rPr>
        <w:t>14</w:t>
      </w:r>
      <w:r w:rsidR="00221175" w:rsidRPr="00221175">
        <w:rPr>
          <w:rFonts w:cstheme="minorHAnsi"/>
        </w:rPr>
        <w:t>(</w:t>
      </w:r>
      <w:r w:rsidRPr="00221175">
        <w:rPr>
          <w:rFonts w:cstheme="minorHAnsi"/>
        </w:rPr>
        <w:t>2</w:t>
      </w:r>
      <w:r w:rsidR="00221175" w:rsidRPr="00221175">
        <w:rPr>
          <w:rFonts w:cstheme="minorHAnsi"/>
        </w:rPr>
        <w:t xml:space="preserve">) </w:t>
      </w:r>
      <w:r w:rsidRPr="00221175">
        <w:rPr>
          <w:rFonts w:cstheme="minorHAnsi"/>
        </w:rPr>
        <w:t>108-13. DOI:</w:t>
      </w:r>
      <w:r w:rsidR="00221175" w:rsidRPr="00221175">
        <w:rPr>
          <w:rFonts w:cstheme="minorHAnsi"/>
        </w:rPr>
        <w:t xml:space="preserve"> </w:t>
      </w:r>
      <w:r w:rsidRPr="00221175">
        <w:rPr>
          <w:rFonts w:cstheme="minorHAnsi"/>
          <w:u w:val="single"/>
        </w:rPr>
        <w:t>10.1891/1521-0987.14.2.108</w:t>
      </w:r>
    </w:p>
    <w:p w14:paraId="14D0894E" w14:textId="77777777" w:rsidR="00221175" w:rsidRPr="00221175" w:rsidRDefault="00221175" w:rsidP="00662037">
      <w:pPr>
        <w:spacing w:line="480" w:lineRule="auto"/>
        <w:ind w:left="720" w:hanging="720"/>
        <w:rPr>
          <w:rFonts w:cstheme="minorHAnsi"/>
        </w:rPr>
      </w:pPr>
      <w:r w:rsidRPr="00221175">
        <w:rPr>
          <w:rFonts w:cstheme="minorHAnsi"/>
        </w:rPr>
        <w:t xml:space="preserve">Phillipson, L., Magee, C., </w:t>
      </w:r>
      <w:r>
        <w:rPr>
          <w:rFonts w:cstheme="minorHAnsi"/>
        </w:rPr>
        <w:t>Jones</w:t>
      </w:r>
      <w:r w:rsidRPr="00221175">
        <w:rPr>
          <w:rFonts w:cstheme="minorHAnsi"/>
        </w:rPr>
        <w:t xml:space="preserve">, S., &amp; </w:t>
      </w:r>
      <w:proofErr w:type="spellStart"/>
      <w:r>
        <w:rPr>
          <w:rFonts w:cstheme="minorHAnsi"/>
        </w:rPr>
        <w:t>Skladzien</w:t>
      </w:r>
      <w:proofErr w:type="spellEnd"/>
      <w:r w:rsidRPr="00221175">
        <w:rPr>
          <w:rFonts w:cstheme="minorHAnsi"/>
        </w:rPr>
        <w:t xml:space="preserve">, E. (2012). Exploring Dementia and Stigma beliefs: A pilot study of Australian adults aged 40-65. Retrieved from </w:t>
      </w:r>
      <w:hyperlink r:id="rId19" w:history="1">
        <w:r w:rsidRPr="00221175">
          <w:rPr>
            <w:rStyle w:val="Hyperlink"/>
            <w:rFonts w:cstheme="minorHAnsi"/>
            <w:color w:val="auto"/>
          </w:rPr>
          <w:t>https://www.dementia.</w:t>
        </w:r>
        <w:r w:rsidR="00662037">
          <w:rPr>
            <w:rStyle w:val="Hyperlink"/>
            <w:rFonts w:cstheme="minorHAnsi"/>
            <w:color w:val="auto"/>
          </w:rPr>
          <w:t>‌</w:t>
        </w:r>
        <w:r w:rsidRPr="00221175">
          <w:rPr>
            <w:rStyle w:val="Hyperlink"/>
            <w:rFonts w:cstheme="minorHAnsi"/>
            <w:color w:val="auto"/>
          </w:rPr>
          <w:t>org.au/</w:t>
        </w:r>
        <w:r w:rsidR="002D2B25">
          <w:rPr>
            <w:rStyle w:val="Hyperlink"/>
            <w:rFonts w:cstheme="minorHAnsi"/>
            <w:color w:val="auto"/>
          </w:rPr>
          <w:t>‌</w:t>
        </w:r>
        <w:r w:rsidRPr="00221175">
          <w:rPr>
            <w:rStyle w:val="Hyperlink"/>
            <w:rFonts w:cstheme="minorHAnsi"/>
            <w:color w:val="auto"/>
          </w:rPr>
          <w:t>sites/default/files/20120712_US_28_Stigma_Report.pdf</w:t>
        </w:r>
      </w:hyperlink>
    </w:p>
    <w:p w14:paraId="1F30418A" w14:textId="77777777" w:rsidR="00221175" w:rsidRPr="00221175" w:rsidRDefault="00221175" w:rsidP="002D2B25">
      <w:pPr>
        <w:spacing w:line="480" w:lineRule="auto"/>
        <w:ind w:left="720" w:hanging="720"/>
        <w:rPr>
          <w:rFonts w:cstheme="minorHAnsi"/>
        </w:rPr>
      </w:pPr>
      <w:proofErr w:type="spellStart"/>
      <w:r w:rsidRPr="00221175">
        <w:rPr>
          <w:rFonts w:cstheme="minorHAnsi"/>
        </w:rPr>
        <w:t>Swaffer</w:t>
      </w:r>
      <w:proofErr w:type="spellEnd"/>
      <w:r w:rsidRPr="00221175">
        <w:rPr>
          <w:rFonts w:cstheme="minorHAnsi"/>
        </w:rPr>
        <w:t>, K. (2015). Dementia and prescribed disengagement</w:t>
      </w:r>
      <w:r w:rsidRPr="00221175">
        <w:rPr>
          <w:rFonts w:cstheme="minorHAnsi"/>
          <w:i/>
        </w:rPr>
        <w:t xml:space="preserve">. The International Journal of social research and practice 14 </w:t>
      </w:r>
      <w:r w:rsidRPr="00221175">
        <w:rPr>
          <w:rFonts w:cstheme="minorHAnsi"/>
        </w:rPr>
        <w:t>(1), 3-6 DOI: 10.1177/1471301214548136</w:t>
      </w:r>
    </w:p>
    <w:p w14:paraId="194F1A8F" w14:textId="77777777" w:rsidR="00ED79B6" w:rsidRDefault="00ED79B6" w:rsidP="002D2B25">
      <w:pPr>
        <w:spacing w:line="480" w:lineRule="auto"/>
        <w:ind w:left="720" w:hanging="720"/>
        <w:rPr>
          <w:rFonts w:cstheme="minorHAnsi"/>
          <w:i/>
        </w:rPr>
      </w:pPr>
      <w:proofErr w:type="spellStart"/>
      <w:r w:rsidRPr="00ED79B6">
        <w:rPr>
          <w:rFonts w:cstheme="minorHAnsi"/>
        </w:rPr>
        <w:t>Wadensten</w:t>
      </w:r>
      <w:proofErr w:type="spellEnd"/>
      <w:r w:rsidRPr="00ED79B6">
        <w:rPr>
          <w:rFonts w:cstheme="minorHAnsi"/>
        </w:rPr>
        <w:t>, B. (2006)</w:t>
      </w:r>
      <w:r w:rsidR="00003E47">
        <w:rPr>
          <w:rFonts w:cstheme="minorHAnsi"/>
        </w:rPr>
        <w:t xml:space="preserve">. </w:t>
      </w:r>
      <w:r w:rsidRPr="00ED79B6">
        <w:rPr>
          <w:rFonts w:cstheme="minorHAnsi"/>
        </w:rPr>
        <w:t>An analysis of psychosocial theories of ageing and their relevance to practical gerontological nursing in Sweden</w:t>
      </w:r>
      <w:r w:rsidR="00003E47">
        <w:rPr>
          <w:rFonts w:cstheme="minorHAnsi"/>
        </w:rPr>
        <w:t>.</w:t>
      </w:r>
      <w:r w:rsidRPr="00ED79B6">
        <w:rPr>
          <w:rFonts w:cstheme="minorHAnsi"/>
        </w:rPr>
        <w:t xml:space="preserve"> </w:t>
      </w:r>
      <w:proofErr w:type="spellStart"/>
      <w:r w:rsidR="00003E47">
        <w:rPr>
          <w:rFonts w:cstheme="minorHAnsi"/>
          <w:i/>
        </w:rPr>
        <w:t>Scand</w:t>
      </w:r>
      <w:proofErr w:type="spellEnd"/>
      <w:r w:rsidR="00003E47">
        <w:rPr>
          <w:rFonts w:cstheme="minorHAnsi"/>
          <w:i/>
        </w:rPr>
        <w:t xml:space="preserve"> J Caring Sci,</w:t>
      </w:r>
      <w:r w:rsidRPr="00ED79B6">
        <w:rPr>
          <w:rFonts w:cstheme="minorHAnsi"/>
          <w:i/>
        </w:rPr>
        <w:t xml:space="preserve"> </w:t>
      </w:r>
      <w:r w:rsidR="00003E47">
        <w:rPr>
          <w:rFonts w:cstheme="minorHAnsi"/>
          <w:i/>
        </w:rPr>
        <w:t>20,</w:t>
      </w:r>
      <w:r w:rsidRPr="00ED79B6">
        <w:rPr>
          <w:rFonts w:cstheme="minorHAnsi"/>
          <w:i/>
        </w:rPr>
        <w:t xml:space="preserve"> </w:t>
      </w:r>
      <w:r w:rsidRPr="00003E47">
        <w:rPr>
          <w:rFonts w:cstheme="minorHAnsi"/>
        </w:rPr>
        <w:t>347–354</w:t>
      </w:r>
    </w:p>
    <w:p w14:paraId="0ABAA81C" w14:textId="77777777" w:rsidR="00894E0C" w:rsidRDefault="00894E0C" w:rsidP="002D2B25">
      <w:pPr>
        <w:spacing w:line="480" w:lineRule="auto"/>
        <w:ind w:left="720" w:hanging="720"/>
        <w:rPr>
          <w:rStyle w:val="Hyperlink"/>
          <w:color w:val="auto"/>
        </w:rPr>
      </w:pPr>
      <w:r>
        <w:t xml:space="preserve">World Health Organisation. (2018). Ageing and Health. Retrieved </w:t>
      </w:r>
      <w:r w:rsidRPr="00894E0C">
        <w:t xml:space="preserve">from </w:t>
      </w:r>
      <w:hyperlink r:id="rId20" w:history="1">
        <w:r w:rsidRPr="00894E0C">
          <w:rPr>
            <w:rStyle w:val="Hyperlink"/>
            <w:color w:val="auto"/>
          </w:rPr>
          <w:t>https://www.who.int/news-room/fact-sheets/detail/ageing-and-health</w:t>
        </w:r>
      </w:hyperlink>
    </w:p>
    <w:p w14:paraId="35CFEA94" w14:textId="15CD1B4E" w:rsidR="00894E0C" w:rsidRDefault="00894E0C" w:rsidP="002D2B25">
      <w:pPr>
        <w:spacing w:line="480" w:lineRule="auto"/>
        <w:ind w:left="720" w:hanging="720"/>
        <w:rPr>
          <w:rStyle w:val="Hyperlink"/>
          <w:color w:val="auto"/>
        </w:rPr>
      </w:pPr>
      <w:r>
        <w:t xml:space="preserve">World Health Organisation. (2019). Dementia. Retrieved from </w:t>
      </w:r>
      <w:hyperlink r:id="rId21" w:history="1">
        <w:r w:rsidRPr="00894E0C">
          <w:rPr>
            <w:rStyle w:val="Hyperlink"/>
            <w:color w:val="auto"/>
          </w:rPr>
          <w:t>https://www.who.int/news-room/fact</w:t>
        </w:r>
        <w:r w:rsidR="002D2B25">
          <w:rPr>
            <w:rStyle w:val="Hyperlink"/>
            <w:color w:val="auto"/>
          </w:rPr>
          <w:t>‌</w:t>
        </w:r>
        <w:r w:rsidRPr="00894E0C">
          <w:rPr>
            <w:rStyle w:val="Hyperlink"/>
            <w:color w:val="auto"/>
          </w:rPr>
          <w:t>-sheets/detail/dementia</w:t>
        </w:r>
      </w:hyperlink>
    </w:p>
    <w:sectPr w:rsidR="00894E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yMDcyMjaxNDQ3MzdR0lEKTi0uzszPAykwqgUAYSvl7CwAAAA="/>
  </w:docVars>
  <w:rsids>
    <w:rsidRoot w:val="00172E42"/>
    <w:rsid w:val="00003E47"/>
    <w:rsid w:val="00035AD6"/>
    <w:rsid w:val="000413EE"/>
    <w:rsid w:val="0004640C"/>
    <w:rsid w:val="00061C5F"/>
    <w:rsid w:val="00087D98"/>
    <w:rsid w:val="000A6EBE"/>
    <w:rsid w:val="000B2FD4"/>
    <w:rsid w:val="000D0F3F"/>
    <w:rsid w:val="000E60F9"/>
    <w:rsid w:val="00100AED"/>
    <w:rsid w:val="001153BA"/>
    <w:rsid w:val="0013032F"/>
    <w:rsid w:val="00132869"/>
    <w:rsid w:val="0015034B"/>
    <w:rsid w:val="00155FE7"/>
    <w:rsid w:val="00172E42"/>
    <w:rsid w:val="001D4A78"/>
    <w:rsid w:val="002002C2"/>
    <w:rsid w:val="00204222"/>
    <w:rsid w:val="00221175"/>
    <w:rsid w:val="00242CD6"/>
    <w:rsid w:val="00272B28"/>
    <w:rsid w:val="002732DF"/>
    <w:rsid w:val="00275211"/>
    <w:rsid w:val="002B50E9"/>
    <w:rsid w:val="002D2B25"/>
    <w:rsid w:val="002F35C0"/>
    <w:rsid w:val="0031070E"/>
    <w:rsid w:val="00357525"/>
    <w:rsid w:val="00373A4E"/>
    <w:rsid w:val="00382ADC"/>
    <w:rsid w:val="003B0DF5"/>
    <w:rsid w:val="003C435C"/>
    <w:rsid w:val="003C6101"/>
    <w:rsid w:val="003D75ED"/>
    <w:rsid w:val="00414AEF"/>
    <w:rsid w:val="00420440"/>
    <w:rsid w:val="00436ABB"/>
    <w:rsid w:val="00444CBC"/>
    <w:rsid w:val="00506777"/>
    <w:rsid w:val="00520473"/>
    <w:rsid w:val="00522622"/>
    <w:rsid w:val="00543611"/>
    <w:rsid w:val="0058580D"/>
    <w:rsid w:val="005E145E"/>
    <w:rsid w:val="00611D52"/>
    <w:rsid w:val="00616C1E"/>
    <w:rsid w:val="00631D87"/>
    <w:rsid w:val="00656F34"/>
    <w:rsid w:val="00662037"/>
    <w:rsid w:val="00664200"/>
    <w:rsid w:val="006653EA"/>
    <w:rsid w:val="00666658"/>
    <w:rsid w:val="0067111E"/>
    <w:rsid w:val="006C23DC"/>
    <w:rsid w:val="00793648"/>
    <w:rsid w:val="0079464C"/>
    <w:rsid w:val="00796C79"/>
    <w:rsid w:val="007A2207"/>
    <w:rsid w:val="007A539E"/>
    <w:rsid w:val="00805D23"/>
    <w:rsid w:val="00825621"/>
    <w:rsid w:val="008444AC"/>
    <w:rsid w:val="00894E0C"/>
    <w:rsid w:val="008C2C3E"/>
    <w:rsid w:val="008D4B0C"/>
    <w:rsid w:val="008F2C9A"/>
    <w:rsid w:val="008F35BF"/>
    <w:rsid w:val="009024FE"/>
    <w:rsid w:val="00920C84"/>
    <w:rsid w:val="00934253"/>
    <w:rsid w:val="009551D9"/>
    <w:rsid w:val="009B2DF0"/>
    <w:rsid w:val="009E1B1A"/>
    <w:rsid w:val="00A357E8"/>
    <w:rsid w:val="00A80A99"/>
    <w:rsid w:val="00AD59D6"/>
    <w:rsid w:val="00B21751"/>
    <w:rsid w:val="00B32DCB"/>
    <w:rsid w:val="00B47C2E"/>
    <w:rsid w:val="00B82B78"/>
    <w:rsid w:val="00B91072"/>
    <w:rsid w:val="00B91E52"/>
    <w:rsid w:val="00BA7FEC"/>
    <w:rsid w:val="00BB79C0"/>
    <w:rsid w:val="00BD30FE"/>
    <w:rsid w:val="00BD34BD"/>
    <w:rsid w:val="00C83A7F"/>
    <w:rsid w:val="00D00F02"/>
    <w:rsid w:val="00D12225"/>
    <w:rsid w:val="00D160F5"/>
    <w:rsid w:val="00D34456"/>
    <w:rsid w:val="00D63018"/>
    <w:rsid w:val="00D71190"/>
    <w:rsid w:val="00DF4068"/>
    <w:rsid w:val="00E25658"/>
    <w:rsid w:val="00E310B7"/>
    <w:rsid w:val="00E75B99"/>
    <w:rsid w:val="00EB73A6"/>
    <w:rsid w:val="00EC2F21"/>
    <w:rsid w:val="00ED79B6"/>
    <w:rsid w:val="00EE6985"/>
    <w:rsid w:val="00EF0090"/>
    <w:rsid w:val="00F07A02"/>
    <w:rsid w:val="00F370AC"/>
    <w:rsid w:val="00F77532"/>
    <w:rsid w:val="00F77D62"/>
    <w:rsid w:val="00F83A37"/>
    <w:rsid w:val="00F9358A"/>
    <w:rsid w:val="00FA5DC2"/>
    <w:rsid w:val="00FC01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EE7BF"/>
  <w15:chartTrackingRefBased/>
  <w15:docId w15:val="{06E05426-8C58-4DB3-B9EC-55BBE82C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E42"/>
    <w:pPr>
      <w:spacing w:line="256" w:lineRule="auto"/>
    </w:pPr>
  </w:style>
  <w:style w:type="paragraph" w:styleId="Heading1">
    <w:name w:val="heading 1"/>
    <w:basedOn w:val="Normal"/>
    <w:next w:val="Normal"/>
    <w:link w:val="Heading1Char"/>
    <w:uiPriority w:val="9"/>
    <w:qFormat/>
    <w:rsid w:val="005E14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73A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E42"/>
    <w:rPr>
      <w:color w:val="0563C1" w:themeColor="hyperlink"/>
      <w:u w:val="single"/>
    </w:rPr>
  </w:style>
  <w:style w:type="character" w:customStyle="1" w:styleId="Heading3Char">
    <w:name w:val="Heading 3 Char"/>
    <w:basedOn w:val="DefaultParagraphFont"/>
    <w:link w:val="Heading3"/>
    <w:uiPriority w:val="9"/>
    <w:semiHidden/>
    <w:rsid w:val="00373A4E"/>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5E145E"/>
    <w:rPr>
      <w:rFonts w:asciiTheme="majorHAnsi" w:eastAsiaTheme="majorEastAsia" w:hAnsiTheme="majorHAnsi" w:cstheme="majorBidi"/>
      <w:color w:val="2E74B5" w:themeColor="accent1" w:themeShade="BF"/>
      <w:sz w:val="32"/>
      <w:szCs w:val="32"/>
    </w:rPr>
  </w:style>
  <w:style w:type="character" w:customStyle="1" w:styleId="element-citation">
    <w:name w:val="element-citation"/>
    <w:basedOn w:val="DefaultParagraphFont"/>
    <w:rsid w:val="00242CD6"/>
  </w:style>
  <w:style w:type="character" w:customStyle="1" w:styleId="ref-journal">
    <w:name w:val="ref-journal"/>
    <w:basedOn w:val="DefaultParagraphFont"/>
    <w:rsid w:val="00242CD6"/>
  </w:style>
  <w:style w:type="character" w:styleId="FollowedHyperlink">
    <w:name w:val="FollowedHyperlink"/>
    <w:basedOn w:val="DefaultParagraphFont"/>
    <w:uiPriority w:val="99"/>
    <w:semiHidden/>
    <w:unhideWhenUsed/>
    <w:rsid w:val="00894E0C"/>
    <w:rPr>
      <w:color w:val="954F72" w:themeColor="followedHyperlink"/>
      <w:u w:val="single"/>
    </w:rPr>
  </w:style>
  <w:style w:type="character" w:styleId="HTMLCite">
    <w:name w:val="HTML Cite"/>
    <w:basedOn w:val="DefaultParagraphFont"/>
    <w:uiPriority w:val="99"/>
    <w:semiHidden/>
    <w:unhideWhenUsed/>
    <w:rsid w:val="00204222"/>
    <w:rPr>
      <w:i/>
      <w:iCs/>
    </w:rPr>
  </w:style>
  <w:style w:type="character" w:customStyle="1" w:styleId="author">
    <w:name w:val="author"/>
    <w:basedOn w:val="DefaultParagraphFont"/>
    <w:rsid w:val="00204222"/>
  </w:style>
  <w:style w:type="character" w:customStyle="1" w:styleId="pubyear">
    <w:name w:val="pubyear"/>
    <w:basedOn w:val="DefaultParagraphFont"/>
    <w:rsid w:val="00204222"/>
  </w:style>
  <w:style w:type="character" w:customStyle="1" w:styleId="booktitle">
    <w:name w:val="booktitle"/>
    <w:basedOn w:val="DefaultParagraphFont"/>
    <w:rsid w:val="00EF0090"/>
  </w:style>
  <w:style w:type="character" w:customStyle="1" w:styleId="publisherlocation">
    <w:name w:val="publisherlocation"/>
    <w:basedOn w:val="DefaultParagraphFont"/>
    <w:rsid w:val="00EF0090"/>
  </w:style>
  <w:style w:type="character" w:styleId="Emphasis">
    <w:name w:val="Emphasis"/>
    <w:basedOn w:val="DefaultParagraphFont"/>
    <w:uiPriority w:val="20"/>
    <w:qFormat/>
    <w:rsid w:val="001328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43996">
      <w:bodyDiv w:val="1"/>
      <w:marLeft w:val="0"/>
      <w:marRight w:val="0"/>
      <w:marTop w:val="0"/>
      <w:marBottom w:val="0"/>
      <w:divBdr>
        <w:top w:val="none" w:sz="0" w:space="0" w:color="auto"/>
        <w:left w:val="none" w:sz="0" w:space="0" w:color="auto"/>
        <w:bottom w:val="none" w:sz="0" w:space="0" w:color="auto"/>
        <w:right w:val="none" w:sz="0" w:space="0" w:color="auto"/>
      </w:divBdr>
    </w:div>
    <w:div w:id="143789297">
      <w:bodyDiv w:val="1"/>
      <w:marLeft w:val="0"/>
      <w:marRight w:val="0"/>
      <w:marTop w:val="0"/>
      <w:marBottom w:val="0"/>
      <w:divBdr>
        <w:top w:val="none" w:sz="0" w:space="0" w:color="auto"/>
        <w:left w:val="none" w:sz="0" w:space="0" w:color="auto"/>
        <w:bottom w:val="none" w:sz="0" w:space="0" w:color="auto"/>
        <w:right w:val="none" w:sz="0" w:space="0" w:color="auto"/>
      </w:divBdr>
      <w:divsChild>
        <w:div w:id="1659725691">
          <w:marLeft w:val="0"/>
          <w:marRight w:val="0"/>
          <w:marTop w:val="0"/>
          <w:marBottom w:val="0"/>
          <w:divBdr>
            <w:top w:val="none" w:sz="0" w:space="0" w:color="auto"/>
            <w:left w:val="none" w:sz="0" w:space="0" w:color="auto"/>
            <w:bottom w:val="none" w:sz="0" w:space="0" w:color="auto"/>
            <w:right w:val="none" w:sz="0" w:space="0" w:color="auto"/>
          </w:divBdr>
          <w:divsChild>
            <w:div w:id="10730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1060">
      <w:bodyDiv w:val="1"/>
      <w:marLeft w:val="0"/>
      <w:marRight w:val="0"/>
      <w:marTop w:val="0"/>
      <w:marBottom w:val="0"/>
      <w:divBdr>
        <w:top w:val="none" w:sz="0" w:space="0" w:color="auto"/>
        <w:left w:val="none" w:sz="0" w:space="0" w:color="auto"/>
        <w:bottom w:val="none" w:sz="0" w:space="0" w:color="auto"/>
        <w:right w:val="none" w:sz="0" w:space="0" w:color="auto"/>
      </w:divBdr>
      <w:divsChild>
        <w:div w:id="78527472">
          <w:marLeft w:val="0"/>
          <w:marRight w:val="0"/>
          <w:marTop w:val="0"/>
          <w:marBottom w:val="0"/>
          <w:divBdr>
            <w:top w:val="none" w:sz="0" w:space="0" w:color="auto"/>
            <w:left w:val="none" w:sz="0" w:space="0" w:color="auto"/>
            <w:bottom w:val="none" w:sz="0" w:space="0" w:color="auto"/>
            <w:right w:val="none" w:sz="0" w:space="0" w:color="auto"/>
          </w:divBdr>
        </w:div>
      </w:divsChild>
    </w:div>
    <w:div w:id="241334921">
      <w:bodyDiv w:val="1"/>
      <w:marLeft w:val="0"/>
      <w:marRight w:val="0"/>
      <w:marTop w:val="0"/>
      <w:marBottom w:val="0"/>
      <w:divBdr>
        <w:top w:val="none" w:sz="0" w:space="0" w:color="auto"/>
        <w:left w:val="none" w:sz="0" w:space="0" w:color="auto"/>
        <w:bottom w:val="none" w:sz="0" w:space="0" w:color="auto"/>
        <w:right w:val="none" w:sz="0" w:space="0" w:color="auto"/>
      </w:divBdr>
    </w:div>
    <w:div w:id="245655156">
      <w:bodyDiv w:val="1"/>
      <w:marLeft w:val="0"/>
      <w:marRight w:val="0"/>
      <w:marTop w:val="0"/>
      <w:marBottom w:val="0"/>
      <w:divBdr>
        <w:top w:val="none" w:sz="0" w:space="0" w:color="auto"/>
        <w:left w:val="none" w:sz="0" w:space="0" w:color="auto"/>
        <w:bottom w:val="none" w:sz="0" w:space="0" w:color="auto"/>
        <w:right w:val="none" w:sz="0" w:space="0" w:color="auto"/>
      </w:divBdr>
      <w:divsChild>
        <w:div w:id="888491397">
          <w:marLeft w:val="0"/>
          <w:marRight w:val="0"/>
          <w:marTop w:val="0"/>
          <w:marBottom w:val="0"/>
          <w:divBdr>
            <w:top w:val="none" w:sz="0" w:space="0" w:color="auto"/>
            <w:left w:val="none" w:sz="0" w:space="0" w:color="auto"/>
            <w:bottom w:val="none" w:sz="0" w:space="0" w:color="auto"/>
            <w:right w:val="none" w:sz="0" w:space="0" w:color="auto"/>
          </w:divBdr>
          <w:divsChild>
            <w:div w:id="123429126">
              <w:marLeft w:val="0"/>
              <w:marRight w:val="0"/>
              <w:marTop w:val="0"/>
              <w:marBottom w:val="0"/>
              <w:divBdr>
                <w:top w:val="none" w:sz="0" w:space="0" w:color="auto"/>
                <w:left w:val="none" w:sz="0" w:space="0" w:color="auto"/>
                <w:bottom w:val="none" w:sz="0" w:space="0" w:color="auto"/>
                <w:right w:val="none" w:sz="0" w:space="0" w:color="auto"/>
              </w:divBdr>
              <w:divsChild>
                <w:div w:id="1623459312">
                  <w:marLeft w:val="0"/>
                  <w:marRight w:val="0"/>
                  <w:marTop w:val="0"/>
                  <w:marBottom w:val="0"/>
                  <w:divBdr>
                    <w:top w:val="none" w:sz="0" w:space="0" w:color="auto"/>
                    <w:left w:val="none" w:sz="0" w:space="0" w:color="auto"/>
                    <w:bottom w:val="none" w:sz="0" w:space="0" w:color="auto"/>
                    <w:right w:val="none" w:sz="0" w:space="0" w:color="auto"/>
                  </w:divBdr>
                </w:div>
                <w:div w:id="10854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24961">
      <w:bodyDiv w:val="1"/>
      <w:marLeft w:val="0"/>
      <w:marRight w:val="0"/>
      <w:marTop w:val="0"/>
      <w:marBottom w:val="0"/>
      <w:divBdr>
        <w:top w:val="none" w:sz="0" w:space="0" w:color="auto"/>
        <w:left w:val="none" w:sz="0" w:space="0" w:color="auto"/>
        <w:bottom w:val="none" w:sz="0" w:space="0" w:color="auto"/>
        <w:right w:val="none" w:sz="0" w:space="0" w:color="auto"/>
      </w:divBdr>
    </w:div>
    <w:div w:id="418453025">
      <w:bodyDiv w:val="1"/>
      <w:marLeft w:val="0"/>
      <w:marRight w:val="0"/>
      <w:marTop w:val="0"/>
      <w:marBottom w:val="0"/>
      <w:divBdr>
        <w:top w:val="none" w:sz="0" w:space="0" w:color="auto"/>
        <w:left w:val="none" w:sz="0" w:space="0" w:color="auto"/>
        <w:bottom w:val="none" w:sz="0" w:space="0" w:color="auto"/>
        <w:right w:val="none" w:sz="0" w:space="0" w:color="auto"/>
      </w:divBdr>
      <w:divsChild>
        <w:div w:id="357317843">
          <w:marLeft w:val="0"/>
          <w:marRight w:val="0"/>
          <w:marTop w:val="0"/>
          <w:marBottom w:val="0"/>
          <w:divBdr>
            <w:top w:val="none" w:sz="0" w:space="0" w:color="auto"/>
            <w:left w:val="none" w:sz="0" w:space="0" w:color="auto"/>
            <w:bottom w:val="none" w:sz="0" w:space="0" w:color="auto"/>
            <w:right w:val="none" w:sz="0" w:space="0" w:color="auto"/>
          </w:divBdr>
          <w:divsChild>
            <w:div w:id="1219828571">
              <w:marLeft w:val="0"/>
              <w:marRight w:val="0"/>
              <w:marTop w:val="0"/>
              <w:marBottom w:val="0"/>
              <w:divBdr>
                <w:top w:val="none" w:sz="0" w:space="0" w:color="auto"/>
                <w:left w:val="none" w:sz="0" w:space="0" w:color="auto"/>
                <w:bottom w:val="none" w:sz="0" w:space="0" w:color="auto"/>
                <w:right w:val="none" w:sz="0" w:space="0" w:color="auto"/>
              </w:divBdr>
              <w:divsChild>
                <w:div w:id="633294372">
                  <w:marLeft w:val="0"/>
                  <w:marRight w:val="0"/>
                  <w:marTop w:val="0"/>
                  <w:marBottom w:val="0"/>
                  <w:divBdr>
                    <w:top w:val="none" w:sz="0" w:space="0" w:color="auto"/>
                    <w:left w:val="none" w:sz="0" w:space="0" w:color="auto"/>
                    <w:bottom w:val="none" w:sz="0" w:space="0" w:color="auto"/>
                    <w:right w:val="none" w:sz="0" w:space="0" w:color="auto"/>
                  </w:divBdr>
                  <w:divsChild>
                    <w:div w:id="1657344025">
                      <w:marLeft w:val="0"/>
                      <w:marRight w:val="0"/>
                      <w:marTop w:val="0"/>
                      <w:marBottom w:val="0"/>
                      <w:divBdr>
                        <w:top w:val="none" w:sz="0" w:space="0" w:color="auto"/>
                        <w:left w:val="none" w:sz="0" w:space="0" w:color="auto"/>
                        <w:bottom w:val="none" w:sz="0" w:space="0" w:color="auto"/>
                        <w:right w:val="none" w:sz="0" w:space="0" w:color="auto"/>
                      </w:divBdr>
                    </w:div>
                    <w:div w:id="293947544">
                      <w:marLeft w:val="0"/>
                      <w:marRight w:val="0"/>
                      <w:marTop w:val="0"/>
                      <w:marBottom w:val="0"/>
                      <w:divBdr>
                        <w:top w:val="none" w:sz="0" w:space="0" w:color="auto"/>
                        <w:left w:val="none" w:sz="0" w:space="0" w:color="auto"/>
                        <w:bottom w:val="none" w:sz="0" w:space="0" w:color="auto"/>
                        <w:right w:val="none" w:sz="0" w:space="0" w:color="auto"/>
                      </w:divBdr>
                    </w:div>
                    <w:div w:id="519322233">
                      <w:marLeft w:val="0"/>
                      <w:marRight w:val="0"/>
                      <w:marTop w:val="0"/>
                      <w:marBottom w:val="0"/>
                      <w:divBdr>
                        <w:top w:val="none" w:sz="0" w:space="0" w:color="auto"/>
                        <w:left w:val="none" w:sz="0" w:space="0" w:color="auto"/>
                        <w:bottom w:val="none" w:sz="0" w:space="0" w:color="auto"/>
                        <w:right w:val="none" w:sz="0" w:space="0" w:color="auto"/>
                      </w:divBdr>
                    </w:div>
                    <w:div w:id="10892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19722">
          <w:marLeft w:val="0"/>
          <w:marRight w:val="0"/>
          <w:marTop w:val="0"/>
          <w:marBottom w:val="0"/>
          <w:divBdr>
            <w:top w:val="none" w:sz="0" w:space="0" w:color="auto"/>
            <w:left w:val="none" w:sz="0" w:space="0" w:color="auto"/>
            <w:bottom w:val="none" w:sz="0" w:space="0" w:color="auto"/>
            <w:right w:val="none" w:sz="0" w:space="0" w:color="auto"/>
          </w:divBdr>
          <w:divsChild>
            <w:div w:id="88938144">
              <w:marLeft w:val="0"/>
              <w:marRight w:val="0"/>
              <w:marTop w:val="0"/>
              <w:marBottom w:val="0"/>
              <w:divBdr>
                <w:top w:val="none" w:sz="0" w:space="0" w:color="auto"/>
                <w:left w:val="none" w:sz="0" w:space="0" w:color="auto"/>
                <w:bottom w:val="none" w:sz="0" w:space="0" w:color="auto"/>
                <w:right w:val="none" w:sz="0" w:space="0" w:color="auto"/>
              </w:divBdr>
            </w:div>
            <w:div w:id="35299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1296">
      <w:bodyDiv w:val="1"/>
      <w:marLeft w:val="0"/>
      <w:marRight w:val="0"/>
      <w:marTop w:val="0"/>
      <w:marBottom w:val="0"/>
      <w:divBdr>
        <w:top w:val="none" w:sz="0" w:space="0" w:color="auto"/>
        <w:left w:val="none" w:sz="0" w:space="0" w:color="auto"/>
        <w:bottom w:val="none" w:sz="0" w:space="0" w:color="auto"/>
        <w:right w:val="none" w:sz="0" w:space="0" w:color="auto"/>
      </w:divBdr>
      <w:divsChild>
        <w:div w:id="473183840">
          <w:marLeft w:val="0"/>
          <w:marRight w:val="0"/>
          <w:marTop w:val="0"/>
          <w:marBottom w:val="0"/>
          <w:divBdr>
            <w:top w:val="none" w:sz="0" w:space="0" w:color="auto"/>
            <w:left w:val="none" w:sz="0" w:space="0" w:color="auto"/>
            <w:bottom w:val="none" w:sz="0" w:space="0" w:color="auto"/>
            <w:right w:val="none" w:sz="0" w:space="0" w:color="auto"/>
          </w:divBdr>
          <w:divsChild>
            <w:div w:id="19961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00370">
      <w:bodyDiv w:val="1"/>
      <w:marLeft w:val="0"/>
      <w:marRight w:val="0"/>
      <w:marTop w:val="0"/>
      <w:marBottom w:val="0"/>
      <w:divBdr>
        <w:top w:val="none" w:sz="0" w:space="0" w:color="auto"/>
        <w:left w:val="none" w:sz="0" w:space="0" w:color="auto"/>
        <w:bottom w:val="none" w:sz="0" w:space="0" w:color="auto"/>
        <w:right w:val="none" w:sz="0" w:space="0" w:color="auto"/>
      </w:divBdr>
      <w:divsChild>
        <w:div w:id="1402753902">
          <w:marLeft w:val="0"/>
          <w:marRight w:val="0"/>
          <w:marTop w:val="0"/>
          <w:marBottom w:val="0"/>
          <w:divBdr>
            <w:top w:val="none" w:sz="0" w:space="0" w:color="auto"/>
            <w:left w:val="none" w:sz="0" w:space="0" w:color="auto"/>
            <w:bottom w:val="none" w:sz="0" w:space="0" w:color="auto"/>
            <w:right w:val="none" w:sz="0" w:space="0" w:color="auto"/>
          </w:divBdr>
          <w:divsChild>
            <w:div w:id="806049770">
              <w:marLeft w:val="0"/>
              <w:marRight w:val="0"/>
              <w:marTop w:val="0"/>
              <w:marBottom w:val="0"/>
              <w:divBdr>
                <w:top w:val="none" w:sz="0" w:space="0" w:color="auto"/>
                <w:left w:val="none" w:sz="0" w:space="0" w:color="auto"/>
                <w:bottom w:val="none" w:sz="0" w:space="0" w:color="auto"/>
                <w:right w:val="none" w:sz="0" w:space="0" w:color="auto"/>
              </w:divBdr>
              <w:divsChild>
                <w:div w:id="2086953582">
                  <w:marLeft w:val="0"/>
                  <w:marRight w:val="0"/>
                  <w:marTop w:val="0"/>
                  <w:marBottom w:val="0"/>
                  <w:divBdr>
                    <w:top w:val="none" w:sz="0" w:space="0" w:color="auto"/>
                    <w:left w:val="none" w:sz="0" w:space="0" w:color="auto"/>
                    <w:bottom w:val="none" w:sz="0" w:space="0" w:color="auto"/>
                    <w:right w:val="none" w:sz="0" w:space="0" w:color="auto"/>
                  </w:divBdr>
                </w:div>
                <w:div w:id="7234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27074">
      <w:bodyDiv w:val="1"/>
      <w:marLeft w:val="0"/>
      <w:marRight w:val="0"/>
      <w:marTop w:val="0"/>
      <w:marBottom w:val="0"/>
      <w:divBdr>
        <w:top w:val="none" w:sz="0" w:space="0" w:color="auto"/>
        <w:left w:val="none" w:sz="0" w:space="0" w:color="auto"/>
        <w:bottom w:val="none" w:sz="0" w:space="0" w:color="auto"/>
        <w:right w:val="none" w:sz="0" w:space="0" w:color="auto"/>
      </w:divBdr>
      <w:divsChild>
        <w:div w:id="1344700380">
          <w:marLeft w:val="0"/>
          <w:marRight w:val="0"/>
          <w:marTop w:val="0"/>
          <w:marBottom w:val="0"/>
          <w:divBdr>
            <w:top w:val="none" w:sz="0" w:space="0" w:color="auto"/>
            <w:left w:val="none" w:sz="0" w:space="0" w:color="auto"/>
            <w:bottom w:val="none" w:sz="0" w:space="0" w:color="auto"/>
            <w:right w:val="none" w:sz="0" w:space="0" w:color="auto"/>
          </w:divBdr>
          <w:divsChild>
            <w:div w:id="16890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21362">
      <w:bodyDiv w:val="1"/>
      <w:marLeft w:val="0"/>
      <w:marRight w:val="0"/>
      <w:marTop w:val="0"/>
      <w:marBottom w:val="0"/>
      <w:divBdr>
        <w:top w:val="none" w:sz="0" w:space="0" w:color="auto"/>
        <w:left w:val="none" w:sz="0" w:space="0" w:color="auto"/>
        <w:bottom w:val="none" w:sz="0" w:space="0" w:color="auto"/>
        <w:right w:val="none" w:sz="0" w:space="0" w:color="auto"/>
      </w:divBdr>
      <w:divsChild>
        <w:div w:id="865367744">
          <w:marLeft w:val="0"/>
          <w:marRight w:val="0"/>
          <w:marTop w:val="0"/>
          <w:marBottom w:val="0"/>
          <w:divBdr>
            <w:top w:val="none" w:sz="0" w:space="0" w:color="auto"/>
            <w:left w:val="none" w:sz="0" w:space="0" w:color="auto"/>
            <w:bottom w:val="none" w:sz="0" w:space="0" w:color="auto"/>
            <w:right w:val="none" w:sz="0" w:space="0" w:color="auto"/>
          </w:divBdr>
        </w:div>
      </w:divsChild>
    </w:div>
    <w:div w:id="1757046778">
      <w:bodyDiv w:val="1"/>
      <w:marLeft w:val="0"/>
      <w:marRight w:val="0"/>
      <w:marTop w:val="0"/>
      <w:marBottom w:val="0"/>
      <w:divBdr>
        <w:top w:val="none" w:sz="0" w:space="0" w:color="auto"/>
        <w:left w:val="none" w:sz="0" w:space="0" w:color="auto"/>
        <w:bottom w:val="none" w:sz="0" w:space="0" w:color="auto"/>
        <w:right w:val="none" w:sz="0" w:space="0" w:color="auto"/>
      </w:divBdr>
      <w:divsChild>
        <w:div w:id="696587885">
          <w:marLeft w:val="0"/>
          <w:marRight w:val="0"/>
          <w:marTop w:val="0"/>
          <w:marBottom w:val="0"/>
          <w:divBdr>
            <w:top w:val="none" w:sz="0" w:space="0" w:color="auto"/>
            <w:left w:val="none" w:sz="0" w:space="0" w:color="auto"/>
            <w:bottom w:val="none" w:sz="0" w:space="0" w:color="auto"/>
            <w:right w:val="none" w:sz="0" w:space="0" w:color="auto"/>
          </w:divBdr>
          <w:divsChild>
            <w:div w:id="391316948">
              <w:marLeft w:val="0"/>
              <w:marRight w:val="0"/>
              <w:marTop w:val="0"/>
              <w:marBottom w:val="0"/>
              <w:divBdr>
                <w:top w:val="none" w:sz="0" w:space="0" w:color="auto"/>
                <w:left w:val="none" w:sz="0" w:space="0" w:color="auto"/>
                <w:bottom w:val="none" w:sz="0" w:space="0" w:color="auto"/>
                <w:right w:val="none" w:sz="0" w:space="0" w:color="auto"/>
              </w:divBdr>
              <w:divsChild>
                <w:div w:id="600990608">
                  <w:marLeft w:val="0"/>
                  <w:marRight w:val="0"/>
                  <w:marTop w:val="0"/>
                  <w:marBottom w:val="0"/>
                  <w:divBdr>
                    <w:top w:val="none" w:sz="0" w:space="0" w:color="auto"/>
                    <w:left w:val="none" w:sz="0" w:space="0" w:color="auto"/>
                    <w:bottom w:val="none" w:sz="0" w:space="0" w:color="auto"/>
                    <w:right w:val="none" w:sz="0" w:space="0" w:color="auto"/>
                  </w:divBdr>
                </w:div>
                <w:div w:id="6095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3141">
          <w:marLeft w:val="0"/>
          <w:marRight w:val="0"/>
          <w:marTop w:val="0"/>
          <w:marBottom w:val="0"/>
          <w:divBdr>
            <w:top w:val="none" w:sz="0" w:space="0" w:color="auto"/>
            <w:left w:val="none" w:sz="0" w:space="0" w:color="auto"/>
            <w:bottom w:val="none" w:sz="0" w:space="0" w:color="auto"/>
            <w:right w:val="none" w:sz="0" w:space="0" w:color="auto"/>
          </w:divBdr>
          <w:divsChild>
            <w:div w:id="1069380068">
              <w:marLeft w:val="0"/>
              <w:marRight w:val="0"/>
              <w:marTop w:val="0"/>
              <w:marBottom w:val="0"/>
              <w:divBdr>
                <w:top w:val="none" w:sz="0" w:space="0" w:color="auto"/>
                <w:left w:val="none" w:sz="0" w:space="0" w:color="auto"/>
                <w:bottom w:val="none" w:sz="0" w:space="0" w:color="auto"/>
                <w:right w:val="none" w:sz="0" w:space="0" w:color="auto"/>
              </w:divBdr>
              <w:divsChild>
                <w:div w:id="1733116991">
                  <w:marLeft w:val="0"/>
                  <w:marRight w:val="0"/>
                  <w:marTop w:val="0"/>
                  <w:marBottom w:val="0"/>
                  <w:divBdr>
                    <w:top w:val="none" w:sz="0" w:space="0" w:color="auto"/>
                    <w:left w:val="none" w:sz="0" w:space="0" w:color="auto"/>
                    <w:bottom w:val="none" w:sz="0" w:space="0" w:color="auto"/>
                    <w:right w:val="none" w:sz="0" w:space="0" w:color="auto"/>
                  </w:divBdr>
                </w:div>
                <w:div w:id="309674958">
                  <w:marLeft w:val="0"/>
                  <w:marRight w:val="0"/>
                  <w:marTop w:val="0"/>
                  <w:marBottom w:val="0"/>
                  <w:divBdr>
                    <w:top w:val="none" w:sz="0" w:space="0" w:color="auto"/>
                    <w:left w:val="none" w:sz="0" w:space="0" w:color="auto"/>
                    <w:bottom w:val="none" w:sz="0" w:space="0" w:color="auto"/>
                    <w:right w:val="none" w:sz="0" w:space="0" w:color="auto"/>
                  </w:divBdr>
                  <w:divsChild>
                    <w:div w:id="106333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329630">
      <w:bodyDiv w:val="1"/>
      <w:marLeft w:val="0"/>
      <w:marRight w:val="0"/>
      <w:marTop w:val="0"/>
      <w:marBottom w:val="0"/>
      <w:divBdr>
        <w:top w:val="none" w:sz="0" w:space="0" w:color="auto"/>
        <w:left w:val="none" w:sz="0" w:space="0" w:color="auto"/>
        <w:bottom w:val="none" w:sz="0" w:space="0" w:color="auto"/>
        <w:right w:val="none" w:sz="0" w:space="0" w:color="auto"/>
      </w:divBdr>
      <w:divsChild>
        <w:div w:id="1863108">
          <w:marLeft w:val="0"/>
          <w:marRight w:val="0"/>
          <w:marTop w:val="0"/>
          <w:marBottom w:val="0"/>
          <w:divBdr>
            <w:top w:val="none" w:sz="0" w:space="0" w:color="auto"/>
            <w:left w:val="none" w:sz="0" w:space="0" w:color="auto"/>
            <w:bottom w:val="none" w:sz="0" w:space="0" w:color="auto"/>
            <w:right w:val="none" w:sz="0" w:space="0" w:color="auto"/>
          </w:divBdr>
        </w:div>
        <w:div w:id="801919209">
          <w:marLeft w:val="0"/>
          <w:marRight w:val="0"/>
          <w:marTop w:val="0"/>
          <w:marBottom w:val="0"/>
          <w:divBdr>
            <w:top w:val="none" w:sz="0" w:space="0" w:color="auto"/>
            <w:left w:val="none" w:sz="0" w:space="0" w:color="auto"/>
            <w:bottom w:val="none" w:sz="0" w:space="0" w:color="auto"/>
            <w:right w:val="none" w:sz="0" w:space="0" w:color="auto"/>
          </w:divBdr>
        </w:div>
        <w:div w:id="729497190">
          <w:marLeft w:val="0"/>
          <w:marRight w:val="0"/>
          <w:marTop w:val="0"/>
          <w:marBottom w:val="0"/>
          <w:divBdr>
            <w:top w:val="none" w:sz="0" w:space="0" w:color="auto"/>
            <w:left w:val="none" w:sz="0" w:space="0" w:color="auto"/>
            <w:bottom w:val="none" w:sz="0" w:space="0" w:color="auto"/>
            <w:right w:val="none" w:sz="0" w:space="0" w:color="auto"/>
          </w:divBdr>
        </w:div>
      </w:divsChild>
    </w:div>
    <w:div w:id="2050108505">
      <w:bodyDiv w:val="1"/>
      <w:marLeft w:val="0"/>
      <w:marRight w:val="0"/>
      <w:marTop w:val="0"/>
      <w:marBottom w:val="0"/>
      <w:divBdr>
        <w:top w:val="none" w:sz="0" w:space="0" w:color="auto"/>
        <w:left w:val="none" w:sz="0" w:space="0" w:color="auto"/>
        <w:bottom w:val="none" w:sz="0" w:space="0" w:color="auto"/>
        <w:right w:val="none" w:sz="0" w:space="0" w:color="auto"/>
      </w:divBdr>
      <w:divsChild>
        <w:div w:id="2139755851">
          <w:marLeft w:val="0"/>
          <w:marRight w:val="0"/>
          <w:marTop w:val="0"/>
          <w:marBottom w:val="0"/>
          <w:divBdr>
            <w:top w:val="none" w:sz="0" w:space="0" w:color="auto"/>
            <w:left w:val="none" w:sz="0" w:space="0" w:color="auto"/>
            <w:bottom w:val="none" w:sz="0" w:space="0" w:color="auto"/>
            <w:right w:val="none" w:sz="0" w:space="0" w:color="auto"/>
          </w:divBdr>
          <w:divsChild>
            <w:div w:id="608006275">
              <w:marLeft w:val="0"/>
              <w:marRight w:val="0"/>
              <w:marTop w:val="0"/>
              <w:marBottom w:val="0"/>
              <w:divBdr>
                <w:top w:val="none" w:sz="0" w:space="0" w:color="auto"/>
                <w:left w:val="none" w:sz="0" w:space="0" w:color="auto"/>
                <w:bottom w:val="none" w:sz="0" w:space="0" w:color="auto"/>
                <w:right w:val="none" w:sz="0" w:space="0" w:color="auto"/>
              </w:divBdr>
              <w:divsChild>
                <w:div w:id="66159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Atav%20S%5BAuthor%5D&amp;cauthor=true&amp;cauthor_uid=21584241" TargetMode="External"/><Relationship Id="rId13" Type="http://schemas.openxmlformats.org/officeDocument/2006/relationships/hyperlink" Target="https://www.dementia.org.au/about-dementia/what-is-dementia" TargetMode="External"/><Relationship Id="rId18" Type="http://schemas.openxmlformats.org/officeDocument/2006/relationships/hyperlink" Target="https://search-proquest-com.ezproxy.cqu.edu.au/pubidlinkhandler/sng/pubtitle/Care+Management+Journals/$N/28724/PagePdf/1366011770/fulltextPDF/4F3738FA802E4E7EPQ/1?accountid=10016" TargetMode="External"/><Relationship Id="rId3" Type="http://schemas.openxmlformats.org/officeDocument/2006/relationships/webSettings" Target="webSettings.xml"/><Relationship Id="rId21" Type="http://schemas.openxmlformats.org/officeDocument/2006/relationships/hyperlink" Target="https://www.who.int/news-room/fact-sheets/detail/dementia" TargetMode="External"/><Relationship Id="rId7" Type="http://schemas.openxmlformats.org/officeDocument/2006/relationships/hyperlink" Target="https://www.ncbi.nlm.nih.gov/pubmed/?term=Fitzsimmons%20S%5BAuthor%5D&amp;cauthor=true&amp;cauthor_uid=21584241" TargetMode="External"/><Relationship Id="rId12" Type="http://schemas.openxmlformats.org/officeDocument/2006/relationships/hyperlink" Target="https://www.jstor.org/stable/2786135" TargetMode="External"/><Relationship Id="rId17" Type="http://schemas.openxmlformats.org/officeDocument/2006/relationships/hyperlink" Target="https://pubmed.ncbi.nlm.nih.gov/?term=Akanuma+K&amp;cauthor_id=23930516" TargetMode="External"/><Relationship Id="rId2" Type="http://schemas.openxmlformats.org/officeDocument/2006/relationships/settings" Target="settings.xml"/><Relationship Id="rId16" Type="http://schemas.openxmlformats.org/officeDocument/2006/relationships/hyperlink" Target="https://pubmed.ncbi.nlm.nih.gov/?term=Meguro+M&amp;cauthor_id=23930516" TargetMode="External"/><Relationship Id="rId20" Type="http://schemas.openxmlformats.org/officeDocument/2006/relationships/hyperlink" Target="https://www.who.int/news-room/fact-sheets/detail/ageing-and-health" TargetMode="External"/><Relationship Id="rId1" Type="http://schemas.openxmlformats.org/officeDocument/2006/relationships/styles" Target="styles.xml"/><Relationship Id="rId6" Type="http://schemas.openxmlformats.org/officeDocument/2006/relationships/hyperlink" Target="https://www.ncbi.nlm.nih.gov/pubmed/?term=Buettner%20LL%5BAuthor%5D&amp;cauthor=true&amp;cauthor_uid=21584241" TargetMode="External"/><Relationship Id="rId11" Type="http://schemas.openxmlformats.org/officeDocument/2006/relationships/hyperlink" Target="https://cqu-primo.hosted.exlibrisgroup.com/primo-explore/fulldisplay?docid=TN_ovid00005053-201410000-00003&amp;context=PC&amp;vid=61CQU&amp;lang=en_US&amp;search_scope=61CQU_Library&amp;adaptor=primo_central_multiple_fe&amp;tab=61cqu_library&amp;query=any,contains,dementia%20and%20apathy&amp;offset=0" TargetMode="External"/><Relationship Id="rId5" Type="http://schemas.openxmlformats.org/officeDocument/2006/relationships/hyperlink" Target="https://www.aihw.gov.au/reports-data/health-conditions-disability-deaths/dementia/overview" TargetMode="External"/><Relationship Id="rId15" Type="http://schemas.openxmlformats.org/officeDocument/2006/relationships/hyperlink" Target="https://pubmed.ncbi.nlm.nih.gov/?term=Meguro+K&amp;cauthor_id=23930516" TargetMode="External"/><Relationship Id="rId23" Type="http://schemas.openxmlformats.org/officeDocument/2006/relationships/theme" Target="theme/theme1.xml"/><Relationship Id="rId10" Type="http://schemas.openxmlformats.org/officeDocument/2006/relationships/hyperlink" Target="https://dx.doi.org/10.4061%2F2011%2F480890" TargetMode="External"/><Relationship Id="rId19" Type="http://schemas.openxmlformats.org/officeDocument/2006/relationships/hyperlink" Target="https://www.dementia.org.au/sites/default/files/20120712_US_28_Stigma_Report.pdf" TargetMode="External"/><Relationship Id="rId4" Type="http://schemas.openxmlformats.org/officeDocument/2006/relationships/hyperlink" Target="https://www.dementia.org.au/sites/default/files/documents/Dementia-Social-Stigma-Report-2017.pdf" TargetMode="External"/><Relationship Id="rId9" Type="http://schemas.openxmlformats.org/officeDocument/2006/relationships/hyperlink" Target="https://www.ncbi.nlm.nih.gov/pubmed/?term=Sink%20K%5BAuthor%5D&amp;cauthor=true&amp;cauthor_uid=21584241" TargetMode="External"/><Relationship Id="rId14" Type="http://schemas.openxmlformats.org/officeDocument/2006/relationships/hyperlink" Target="https://www.dementia.org.au/sites/default/files/helpsheets/Helpsheet-AboutDementia21-YoungerOnsetDementia_english.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2054</Words>
  <Characters>10559</Characters>
  <Application>Microsoft Office Word</Application>
  <DocSecurity>0</DocSecurity>
  <Lines>586</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Ainslie Monson</cp:lastModifiedBy>
  <cp:revision>2</cp:revision>
  <dcterms:created xsi:type="dcterms:W3CDTF">2021-03-30T02:56:00Z</dcterms:created>
  <dcterms:modified xsi:type="dcterms:W3CDTF">2021-03-30T02:56:00Z</dcterms:modified>
</cp:coreProperties>
</file>